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C8" w:rsidRPr="00C747E3" w:rsidRDefault="00C747E3" w:rsidP="00C747E3">
      <w:pPr>
        <w:jc w:val="center"/>
        <w:rPr>
          <w:u w:val="single"/>
        </w:rPr>
      </w:pPr>
      <w:r w:rsidRPr="00C747E3">
        <w:rPr>
          <w:u w:val="single"/>
        </w:rPr>
        <w:t>Background research</w:t>
      </w:r>
    </w:p>
    <w:p w:rsidR="00836EC8" w:rsidRDefault="00836EC8">
      <w:r>
        <w:t>Smoking Kills – A White Paper on Tobacco</w:t>
      </w:r>
      <w:bookmarkStart w:id="0" w:name="_GoBack"/>
      <w:bookmarkEnd w:id="0"/>
    </w:p>
    <w:p w:rsidR="00836EC8" w:rsidRDefault="00CE4890" w:rsidP="00CE4890">
      <w:pPr>
        <w:pStyle w:val="ListParagraph"/>
        <w:numPr>
          <w:ilvl w:val="0"/>
          <w:numId w:val="4"/>
        </w:numPr>
      </w:pPr>
      <w:r>
        <w:t>Over 120,000 people are killed a year because they smoke.</w:t>
      </w:r>
    </w:p>
    <w:p w:rsidR="00CE4890" w:rsidRDefault="007D2EFE" w:rsidP="00CE4890">
      <w:pPr>
        <w:pStyle w:val="ListParagraph"/>
        <w:numPr>
          <w:ilvl w:val="0"/>
          <w:numId w:val="4"/>
        </w:numPr>
      </w:pPr>
      <w:r>
        <w:t>Halve</w:t>
      </w:r>
      <w:r w:rsidR="00CE4890">
        <w:t xml:space="preserve"> of all who continue to smoke for most of their lives die of the habit.</w:t>
      </w:r>
    </w:p>
    <w:p w:rsidR="00CE4890" w:rsidRDefault="00CE4890" w:rsidP="00CE4890">
      <w:pPr>
        <w:pStyle w:val="ListParagraph"/>
        <w:numPr>
          <w:ilvl w:val="0"/>
          <w:numId w:val="4"/>
        </w:numPr>
      </w:pPr>
      <w:r>
        <w:t>Those who smoke regularly and die of a smoking-related disease lose an average 16 years from their life expectancy</w:t>
      </w:r>
    </w:p>
    <w:p w:rsidR="00CE4890" w:rsidRDefault="00CE4890" w:rsidP="00CE4890">
      <w:pPr>
        <w:pStyle w:val="ListParagraph"/>
        <w:numPr>
          <w:ilvl w:val="0"/>
          <w:numId w:val="4"/>
        </w:numPr>
      </w:pPr>
      <w:r>
        <w:t>For every 1000 20-year-old smokers, one will be murdered, six will die in motor accidents, 250 will die in middle age from smoking, and 250 will die in older age from smoking.</w:t>
      </w:r>
    </w:p>
    <w:p w:rsidR="00CE4890" w:rsidRDefault="00CE4890" w:rsidP="00CE4890">
      <w:pPr>
        <w:pStyle w:val="ListParagraph"/>
        <w:numPr>
          <w:ilvl w:val="0"/>
          <w:numId w:val="4"/>
        </w:numPr>
      </w:pPr>
      <w:r>
        <w:t>Smoking causes 84% of deaths from lung cancer, and 83% of deaths from chronic obstructive lung disease.</w:t>
      </w:r>
    </w:p>
    <w:p w:rsidR="00CE4890" w:rsidRDefault="00CE4890" w:rsidP="00CE4890">
      <w:pPr>
        <w:pStyle w:val="ListParagraph"/>
        <w:numPr>
          <w:ilvl w:val="0"/>
          <w:numId w:val="4"/>
        </w:numPr>
      </w:pPr>
      <w:r>
        <w:t>Smoking causes 3 out of 10 cancer deaths.</w:t>
      </w:r>
    </w:p>
    <w:p w:rsidR="00CE4890" w:rsidRDefault="00CE4890" w:rsidP="00CE4890">
      <w:pPr>
        <w:pStyle w:val="ListParagraph"/>
        <w:numPr>
          <w:ilvl w:val="0"/>
          <w:numId w:val="4"/>
        </w:numPr>
      </w:pPr>
      <w:r>
        <w:t>Smoking causes 1 out of every 7 deaths from heart disease</w:t>
      </w:r>
      <w:r w:rsidR="0012793B">
        <w:t>.</w:t>
      </w:r>
    </w:p>
    <w:p w:rsidR="0012793B" w:rsidRDefault="0012793B" w:rsidP="00CE4890">
      <w:pPr>
        <w:pStyle w:val="ListParagraph"/>
        <w:numPr>
          <w:ilvl w:val="0"/>
          <w:numId w:val="4"/>
        </w:numPr>
      </w:pPr>
      <w:r>
        <w:t>Prevalence of smoking in 1998 – 28%.</w:t>
      </w:r>
    </w:p>
    <w:p w:rsidR="0012793B" w:rsidRDefault="0012793B" w:rsidP="00CE4890">
      <w:pPr>
        <w:pStyle w:val="ListParagraph"/>
        <w:numPr>
          <w:ilvl w:val="0"/>
          <w:numId w:val="4"/>
        </w:numPr>
      </w:pPr>
      <w:r>
        <w:t>Prevalence of smoking in 2012 – 20%</w:t>
      </w:r>
      <w:r w:rsidR="00D17465">
        <w:t>.</w:t>
      </w:r>
      <w:hyperlink w:anchor="_ENREF_1" w:tooltip=", 2014 #4" w:history="1">
        <w:r w:rsidR="00DC2BB8">
          <w:fldChar w:fldCharType="begin"/>
        </w:r>
        <w:r w:rsidR="00DC2BB8">
          <w:instrText xml:space="preserve"> ADDIN EN.CITE &lt;EndNote&gt;&lt;Cite&gt;&lt;Year&gt;2014&lt;/Year&gt;&lt;RecNum&gt;4&lt;/RecNum&gt;&lt;DisplayText&gt;&lt;style face="superscript"&gt;1&lt;/style&gt;&lt;/DisplayText&gt;&lt;record&gt;&lt;rec-number&gt;4&lt;/rec-number&gt;&lt;foreign-keys&gt;&lt;key app="EN" db-id="x9tpfdvd00e2epea0wepvre70ep55d5szsx2" timestamp="1410806304"&gt;4&lt;/key&gt;&lt;/foreign-keys&gt;&lt;ref-type name="Electronic Article"&gt;43&lt;/ref-type&gt;&lt;contributors&gt;&lt;/contributors&gt;&lt;titles&gt;&lt;title&gt;Smoking statistics - who smokes and how much&lt;/title&gt;&lt;/titles&gt;&lt;dates&gt;&lt;year&gt;2014&lt;/year&gt;&lt;/dates&gt;&lt;publisher&gt;Action on smoking and health&lt;/publisher&gt;&lt;urls&gt;&lt;related-urls&gt;&lt;url&gt;http://ash.org.uk/files/documents/ASH_106.pdf&lt;/url&gt;&lt;/related-urls&gt;&lt;/urls&gt;&lt;/record&gt;&lt;/Cite&gt;&lt;/EndNote&gt;</w:instrText>
        </w:r>
        <w:r w:rsidR="00DC2BB8">
          <w:fldChar w:fldCharType="separate"/>
        </w:r>
        <w:r w:rsidR="00DC2BB8" w:rsidRPr="00DC2BB8">
          <w:rPr>
            <w:noProof/>
            <w:vertAlign w:val="superscript"/>
          </w:rPr>
          <w:t>1</w:t>
        </w:r>
        <w:r w:rsidR="00DC2BB8">
          <w:fldChar w:fldCharType="end"/>
        </w:r>
      </w:hyperlink>
    </w:p>
    <w:p w:rsidR="00CE4890" w:rsidRDefault="00CE4890" w:rsidP="00CE4890"/>
    <w:p w:rsidR="00A1476F" w:rsidRDefault="00A1476F" w:rsidP="00CE4890">
      <w:r>
        <w:t>Smoking cessation in secondary care: acute, maternity and mental health services.</w:t>
      </w:r>
      <w:hyperlink w:anchor="_ENREF_2" w:tooltip=", 2013 #1" w:history="1">
        <w:r w:rsidR="00DC2BB8">
          <w:fldChar w:fldCharType="begin"/>
        </w:r>
        <w:r w:rsidR="00DC2BB8">
          <w:instrText xml:space="preserve"> ADDIN EN.CITE &lt;EndNote&gt;&lt;Cite&gt;&lt;Year&gt;2013&lt;/Year&gt;&lt;RecNum&gt;1&lt;/RecNum&gt;&lt;DisplayText&gt;&lt;style face="superscript"&gt;2&lt;/style&gt;&lt;/DisplayText&gt;&lt;record&gt;&lt;rec-number&gt;1&lt;/rec-number&gt;&lt;foreign-keys&gt;&lt;key app="EN" db-id="x9tpfdvd00e2epea0wepvre70ep55d5szsx2" timestamp="1410802240"&gt;1&lt;/key&gt;&lt;/foreign-keys&gt;&lt;ref-type name="Web Page"&gt;12&lt;/ref-type&gt;&lt;contributors&gt;&lt;/contributors&gt;&lt;titles&gt;&lt;title&gt;Smoking cessation in secondary care: acute, maternity and mental health services&lt;/title&gt;&lt;/titles&gt;&lt;volume&gt;2014&lt;/volume&gt;&lt;number&gt;15/09/2014&lt;/number&gt;&lt;dates&gt;&lt;year&gt;2013&lt;/year&gt;&lt;/dates&gt;&lt;publisher&gt;National Institute for Health and Care Excellence&lt;/publisher&gt;&lt;urls&gt;&lt;related-urls&gt;&lt;url&gt;http://www.nice.org.uk/Guidance/PH48&lt;/url&gt;&lt;/related-urls&gt;&lt;/urls&gt;&lt;/record&gt;&lt;/Cite&gt;&lt;/EndNote&gt;</w:instrText>
        </w:r>
        <w:r w:rsidR="00DC2BB8">
          <w:fldChar w:fldCharType="separate"/>
        </w:r>
        <w:r w:rsidR="00DC2BB8" w:rsidRPr="00DC2BB8">
          <w:rPr>
            <w:noProof/>
            <w:vertAlign w:val="superscript"/>
          </w:rPr>
          <w:t>2</w:t>
        </w:r>
        <w:r w:rsidR="00DC2BB8">
          <w:fldChar w:fldCharType="end"/>
        </w:r>
      </w:hyperlink>
    </w:p>
    <w:p w:rsidR="009A4B68" w:rsidRDefault="009A4B68" w:rsidP="009A4B68">
      <w:pPr>
        <w:pStyle w:val="ListParagraph"/>
        <w:numPr>
          <w:ilvl w:val="0"/>
          <w:numId w:val="1"/>
        </w:numPr>
      </w:pPr>
      <w:r w:rsidRPr="009A4B68">
        <w:t>The benefits of stopping smoking are well known</w:t>
      </w:r>
      <w:r>
        <w:t>…</w:t>
      </w:r>
      <w:r w:rsidRPr="009A4B68">
        <w:t>extensive evidence on effective and cost-effective stop smoking interventions.</w:t>
      </w:r>
    </w:p>
    <w:p w:rsidR="00EF180D" w:rsidRDefault="00EF180D" w:rsidP="009A4B68">
      <w:pPr>
        <w:pStyle w:val="ListParagraph"/>
        <w:numPr>
          <w:ilvl w:val="0"/>
          <w:numId w:val="1"/>
        </w:numPr>
      </w:pPr>
      <w:r>
        <w:t xml:space="preserve">Tobacco smoking remains the single greatest cause of preventable illness and premature death in England. Cancer, cardiovascular disease, respiratory diseases, age-related macular degeneration, gastric ulcers, impotence, osteoporosis, increased risk of </w:t>
      </w:r>
      <w:r w:rsidR="003E45E5">
        <w:t>miscarriage</w:t>
      </w:r>
      <w:r>
        <w:t>, premature birth and low birthweight in pregnancy. Lower survival rates, delayed wound healing, increased infections, prolonged hospital stays and repeated admissions after surgery.</w:t>
      </w:r>
    </w:p>
    <w:p w:rsidR="009A4B68" w:rsidRDefault="009A4B68" w:rsidP="009A4B68">
      <w:pPr>
        <w:pStyle w:val="ListParagraph"/>
        <w:numPr>
          <w:ilvl w:val="0"/>
          <w:numId w:val="1"/>
        </w:numPr>
      </w:pPr>
      <w:r>
        <w:t xml:space="preserve">People are required by law to abstain from smoking inside enclosed or substantially enclosed buildings. Most NHS secondary care settings also apply </w:t>
      </w:r>
      <w:proofErr w:type="spellStart"/>
      <w:r>
        <w:t>smokefree</w:t>
      </w:r>
      <w:proofErr w:type="spellEnd"/>
      <w:r>
        <w:t xml:space="preserve"> policies to their grounds.</w:t>
      </w:r>
    </w:p>
    <w:p w:rsidR="003E45E5" w:rsidRDefault="003E45E5" w:rsidP="003E45E5">
      <w:pPr>
        <w:pStyle w:val="ListParagraph"/>
        <w:numPr>
          <w:ilvl w:val="0"/>
          <w:numId w:val="1"/>
        </w:numPr>
      </w:pPr>
      <w:r>
        <w:t>65% of smokers want to quit their habit, but are unable to do so.</w:t>
      </w:r>
      <w:r w:rsidR="00977EA0">
        <w:t xml:space="preserve"> </w:t>
      </w:r>
      <w:hyperlink w:anchor="_ENREF_3" w:tooltip="Robinson, 2008 #2" w:history="1">
        <w:r w:rsidR="00DC2BB8">
          <w:fldChar w:fldCharType="begin"/>
        </w:r>
        <w:r w:rsidR="00DC2BB8">
          <w:instrText xml:space="preserve"> ADDIN EN.CITE &lt;EndNote&gt;&lt;Cite&gt;&lt;Author&gt;Simon Robinson&lt;/Author&gt;&lt;Year&gt;2008&lt;/Year&gt;&lt;RecNum&gt;2&lt;/RecNum&gt;&lt;DisplayText&gt;&lt;style face="superscript"&gt;3&lt;/style&gt;&lt;/DisplayText&gt;&lt;record&gt;&lt;rec-number&gt;2&lt;/rec-number&gt;&lt;foreign-keys&gt;&lt;key app="EN" db-id="x9tpfdvd00e2epea0wepvre70ep55d5szsx2" timestamp="1410803829"&gt;2&lt;/key&gt;&lt;/foreign-keys&gt;&lt;ref-type name="Electronic Article"&gt;43&lt;/ref-type&gt;&lt;contributors&gt;&lt;authors&gt;&lt;author&gt;Simon Robinson&lt;/author&gt;&lt;author&gt;Bugler Caroline&lt;/author&gt;&lt;/authors&gt;&lt;/contributors&gt;&lt;titles&gt;&lt;title&gt;Smoking and drinking among adults&lt;/title&gt;&lt;/titles&gt;&lt;dates&gt;&lt;year&gt;2008&lt;/year&gt;&lt;/dates&gt;&lt;publisher&gt;Office of National Statistics&lt;/publisher&gt;&lt;urls&gt;&lt;related-urls&gt;&lt;url&gt;http://www.ons.gov.uk/ons/rel/ghs/general-lifestyle-survey/2008-report/smoking-and-drinking-among-adults--2008.pdf&lt;/url&gt;&lt;/related-urls&gt;&lt;/urls&gt;&lt;/record&gt;&lt;/Cite&gt;&lt;/EndNote&gt;</w:instrText>
        </w:r>
        <w:r w:rsidR="00DC2BB8">
          <w:fldChar w:fldCharType="separate"/>
        </w:r>
        <w:r w:rsidR="00DC2BB8" w:rsidRPr="00DC2BB8">
          <w:rPr>
            <w:noProof/>
            <w:vertAlign w:val="superscript"/>
          </w:rPr>
          <w:t>3</w:t>
        </w:r>
        <w:r w:rsidR="00DC2BB8">
          <w:fldChar w:fldCharType="end"/>
        </w:r>
      </w:hyperlink>
    </w:p>
    <w:p w:rsidR="009A4B68" w:rsidRDefault="009A4B68" w:rsidP="003E45E5">
      <w:pPr>
        <w:pStyle w:val="ListParagraph"/>
        <w:numPr>
          <w:ilvl w:val="0"/>
          <w:numId w:val="1"/>
        </w:numPr>
      </w:pPr>
      <w:r>
        <w:t>Deliver support to the person who has been referred at the earliest possible opportunity. For outpatients (including pre-operative assessments) this should be immediate, and for inpatients usually within 1 working day.</w:t>
      </w:r>
    </w:p>
    <w:p w:rsidR="002C73BB" w:rsidRDefault="002C73BB" w:rsidP="002C73BB">
      <w:pPr>
        <w:pStyle w:val="ListParagraph"/>
        <w:numPr>
          <w:ilvl w:val="0"/>
          <w:numId w:val="1"/>
        </w:numPr>
      </w:pPr>
      <w:r>
        <w:t>Recommend and offer NRT products (a combination of transdermal patches with a short-acting product such as an inhalator, gum, lozenges or spray) to all people who smoke OR varenicline or bupropion as sole therapy as appropriate.</w:t>
      </w:r>
    </w:p>
    <w:p w:rsidR="002C73BB" w:rsidRDefault="002C73BB" w:rsidP="002C73BB">
      <w:pPr>
        <w:pStyle w:val="ListParagraph"/>
        <w:numPr>
          <w:ilvl w:val="0"/>
          <w:numId w:val="1"/>
        </w:numPr>
      </w:pPr>
      <w:r>
        <w:t>When people are discharged from hospital ensure they have sufficient stop smoking pharmacotherapy to last until their next contact with a stop smoking service.</w:t>
      </w:r>
    </w:p>
    <w:p w:rsidR="00EF180D" w:rsidRDefault="00EF180D" w:rsidP="00EF180D">
      <w:pPr>
        <w:pStyle w:val="ListParagraph"/>
        <w:numPr>
          <w:ilvl w:val="0"/>
          <w:numId w:val="1"/>
        </w:numPr>
      </w:pPr>
      <w:r>
        <w:t>Ensure all frontline healthcare staff are trained to deliver stop smoking interventions.</w:t>
      </w:r>
    </w:p>
    <w:p w:rsidR="00EF180D" w:rsidRDefault="00EF180D" w:rsidP="00EF180D">
      <w:pPr>
        <w:pStyle w:val="ListParagraph"/>
        <w:numPr>
          <w:ilvl w:val="0"/>
          <w:numId w:val="1"/>
        </w:numPr>
      </w:pPr>
      <w:r>
        <w:t>Ensure online training can be completed and updated annually as part of NHS mandatory training.</w:t>
      </w:r>
    </w:p>
    <w:p w:rsidR="00202F94" w:rsidRDefault="00202F94" w:rsidP="00EF180D">
      <w:pPr>
        <w:pStyle w:val="ListParagraph"/>
        <w:numPr>
          <w:ilvl w:val="0"/>
          <w:numId w:val="1"/>
        </w:numPr>
      </w:pPr>
      <w:r>
        <w:t>Costs:</w:t>
      </w:r>
    </w:p>
    <w:p w:rsidR="00202F94" w:rsidRDefault="00202F94" w:rsidP="00202F94">
      <w:pPr>
        <w:pStyle w:val="ListParagraph"/>
        <w:numPr>
          <w:ilvl w:val="1"/>
          <w:numId w:val="1"/>
        </w:numPr>
      </w:pPr>
      <w:r>
        <w:t>Treating smoking-related illnesses cost the NHS an estimated £2.7 billion in 2006.</w:t>
      </w:r>
    </w:p>
    <w:p w:rsidR="009A4B68" w:rsidRDefault="009A4B68" w:rsidP="009A4B68">
      <w:r>
        <w:t>Helpin</w:t>
      </w:r>
      <w:r w:rsidR="002C73BB">
        <w:t xml:space="preserve">g people admitted to secondary </w:t>
      </w:r>
      <w:r>
        <w:t>care to abstain temporari</w:t>
      </w:r>
      <w:r w:rsidR="002C73BB">
        <w:t xml:space="preserve">ly if they do not want to stop </w:t>
      </w:r>
      <w:r>
        <w:t>smoking completely</w:t>
      </w:r>
      <w:r w:rsidR="002C73BB">
        <w:t>:</w:t>
      </w:r>
    </w:p>
    <w:p w:rsidR="00CE1755" w:rsidRDefault="002C73BB" w:rsidP="005B432B">
      <w:pPr>
        <w:pStyle w:val="ListParagraph"/>
        <w:numPr>
          <w:ilvl w:val="0"/>
          <w:numId w:val="2"/>
        </w:numPr>
      </w:pPr>
      <w:r>
        <w:t>For people admitted to secondary care services who are only prepared to abstain temporarily, encourage use of combination NRT to help reduce cravings to smoke during their stay.</w:t>
      </w:r>
      <w:r w:rsidR="00A1476F">
        <w:t xml:space="preserve"> </w:t>
      </w:r>
      <w:r>
        <w:t xml:space="preserve">Provide </w:t>
      </w:r>
      <w:r>
        <w:lastRenderedPageBreak/>
        <w:t xml:space="preserve">information about the different types of nicotine replacement therapy (NRT) and how to use them. Where possible, supply or prescribe NRT immediately. </w:t>
      </w:r>
    </w:p>
    <w:p w:rsidR="00836EC8" w:rsidRDefault="00836EC8" w:rsidP="00836EC8"/>
    <w:p w:rsidR="004D0B35" w:rsidRDefault="004D0B35" w:rsidP="00836EC8">
      <w:r w:rsidRPr="004D0B35">
        <w:t>Cost-effectiveness of pharma</w:t>
      </w:r>
      <w:r>
        <w:t>cotherapy for smoking cessation</w:t>
      </w:r>
      <w:hyperlink w:anchor="_ENREF_4" w:tooltip="Shahab, 2012 #5" w:history="1">
        <w:r w:rsidR="00DC2BB8">
          <w:fldChar w:fldCharType="begin"/>
        </w:r>
        <w:r w:rsidR="00DC2BB8">
          <w:instrText xml:space="preserve"> ADDIN EN.CITE &lt;EndNote&gt;&lt;Cite&gt;&lt;Author&gt;Shahab&lt;/Author&gt;&lt;Year&gt;2012&lt;/Year&gt;&lt;RecNum&gt;5&lt;/RecNum&gt;&lt;DisplayText&gt;&lt;style face="superscript"&gt;4&lt;/style&gt;&lt;/DisplayText&gt;&lt;record&gt;&lt;rec-number&gt;5&lt;/rec-number&gt;&lt;foreign-keys&gt;&lt;key app="EN" db-id="x9tpfdvd00e2epea0wepvre70ep55d5szsx2" timestamp="1410983103"&gt;5&lt;/key&gt;&lt;/foreign-keys&gt;&lt;ref-type name="Electronic Article"&gt;43&lt;/ref-type&gt;&lt;contributors&gt;&lt;authors&gt;&lt;author&gt;Lion Shahab&lt;/author&gt;&lt;/authors&gt;&lt;/contributors&gt;&lt;titles&gt;&lt;title&gt;Cost-effectiveness of pharmacotherapy for smoking cessation&lt;/title&gt;&lt;/titles&gt;&lt;dates&gt;&lt;year&gt;2012&lt;/year&gt;&lt;/dates&gt;&lt;publisher&gt;National Centre for Smoking Cessation and Training&lt;/publisher&gt;&lt;urls&gt;&lt;related-urls&gt;&lt;url&gt;http://www.ncsct.co.uk/usr/pub/B7_Cost-effectiveness_pharmacotherapy.pdf&lt;/url&gt;&lt;/related-urls&gt;&lt;/urls&gt;&lt;/record&gt;&lt;/Cite&gt;&lt;Cite&gt;&lt;Author&gt;Shahab&lt;/Author&gt;&lt;Year&gt;2012&lt;/Year&gt;&lt;RecNum&gt;5&lt;/RecNum&gt;&lt;record&gt;&lt;rec-number&gt;5&lt;/rec-number&gt;&lt;foreign-keys&gt;&lt;key app="EN" db-id="x9tpfdvd00e2epea0wepvre70ep55d5szsx2" timestamp="1410983103"&gt;5&lt;/key&gt;&lt;/foreign-keys&gt;&lt;ref-type name="Electronic Article"&gt;43&lt;/ref-type&gt;&lt;contributors&gt;&lt;authors&gt;&lt;author&gt;Lion Shahab&lt;/author&gt;&lt;/authors&gt;&lt;/contributors&gt;&lt;titles&gt;&lt;title&gt;Cost-effectiveness of pharmacotherapy for smoking cessation&lt;/title&gt;&lt;/titles&gt;&lt;dates&gt;&lt;year&gt;2012&lt;/year&gt;&lt;/dates&gt;&lt;publisher&gt;National Centre for Smoking Cessation and Training&lt;/publisher&gt;&lt;urls&gt;&lt;related-urls&gt;&lt;url&gt;http://www.ncsct.co.uk/usr/pub/B7_Cost-effectiveness_pharmacotherapy.pdf&lt;/url&gt;&lt;/related-urls&gt;&lt;/urls&gt;&lt;/record&gt;&lt;/Cite&gt;&lt;/EndNote&gt;</w:instrText>
        </w:r>
        <w:r w:rsidR="00DC2BB8">
          <w:fldChar w:fldCharType="separate"/>
        </w:r>
        <w:r w:rsidR="00DC2BB8" w:rsidRPr="00DC2BB8">
          <w:rPr>
            <w:noProof/>
            <w:vertAlign w:val="superscript"/>
          </w:rPr>
          <w:t>4</w:t>
        </w:r>
        <w:r w:rsidR="00DC2BB8">
          <w:fldChar w:fldCharType="end"/>
        </w:r>
      </w:hyperlink>
    </w:p>
    <w:p w:rsidR="004D0B35" w:rsidRDefault="00667383" w:rsidP="00667383">
      <w:pPr>
        <w:pStyle w:val="ListParagraph"/>
        <w:numPr>
          <w:ilvl w:val="0"/>
          <w:numId w:val="2"/>
        </w:numPr>
      </w:pPr>
      <w:r>
        <w:t>In 2002, the cost per lifetime quitter was put between £1,173 and £2,288.</w:t>
      </w:r>
    </w:p>
    <w:p w:rsidR="00667383" w:rsidRDefault="00667383" w:rsidP="00667383">
      <w:pPr>
        <w:pStyle w:val="ListParagraph"/>
        <w:numPr>
          <w:ilvl w:val="0"/>
          <w:numId w:val="2"/>
        </w:numPr>
      </w:pPr>
      <w:r>
        <w:t>The ICER of NRT (compared to GP advice) ranged between £494 and £3,554 per QALY.</w:t>
      </w:r>
    </w:p>
    <w:p w:rsidR="00667383" w:rsidRDefault="00667383" w:rsidP="00667383">
      <w:r w:rsidRPr="00667383">
        <w:rPr>
          <w:noProof/>
          <w:lang w:eastAsia="en-GB"/>
        </w:rPr>
        <w:drawing>
          <wp:inline distT="0" distB="0" distL="0" distR="0" wp14:anchorId="5594AB62" wp14:editId="731DCC38">
            <wp:extent cx="5731510" cy="25139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B35" w:rsidRDefault="004D0B35" w:rsidP="00836EC8"/>
    <w:p w:rsidR="00D17465" w:rsidRDefault="00D17465" w:rsidP="00D17465">
      <w:pPr>
        <w:jc w:val="left"/>
      </w:pPr>
    </w:p>
    <w:p w:rsidR="00D17465" w:rsidRDefault="00D17465" w:rsidP="00D17465">
      <w:pPr>
        <w:jc w:val="left"/>
      </w:pPr>
    </w:p>
    <w:p w:rsidR="00D17465" w:rsidRDefault="00D17465" w:rsidP="00D17465">
      <w:pPr>
        <w:jc w:val="left"/>
      </w:pPr>
    </w:p>
    <w:p w:rsidR="00D17465" w:rsidRDefault="00D17465" w:rsidP="00D17465">
      <w:pPr>
        <w:jc w:val="left"/>
      </w:pPr>
    </w:p>
    <w:p w:rsidR="00D17465" w:rsidRDefault="00D17465" w:rsidP="00D17465">
      <w:pPr>
        <w:jc w:val="left"/>
      </w:pPr>
    </w:p>
    <w:p w:rsidR="00D17465" w:rsidRDefault="00D17465" w:rsidP="00D17465">
      <w:pPr>
        <w:jc w:val="left"/>
      </w:pPr>
    </w:p>
    <w:p w:rsidR="00D17465" w:rsidRDefault="00D17465" w:rsidP="00D17465">
      <w:pPr>
        <w:jc w:val="left"/>
      </w:pPr>
    </w:p>
    <w:p w:rsidR="00D17465" w:rsidRDefault="00D17465" w:rsidP="00D17465">
      <w:pPr>
        <w:jc w:val="left"/>
      </w:pPr>
    </w:p>
    <w:p w:rsidR="00D17465" w:rsidRDefault="00D17465" w:rsidP="00D17465">
      <w:pPr>
        <w:jc w:val="left"/>
      </w:pPr>
    </w:p>
    <w:p w:rsidR="00D17465" w:rsidRDefault="00D17465" w:rsidP="00D17465">
      <w:pPr>
        <w:jc w:val="left"/>
      </w:pPr>
    </w:p>
    <w:p w:rsidR="00D17465" w:rsidRDefault="00D17465" w:rsidP="00D17465">
      <w:pPr>
        <w:jc w:val="left"/>
      </w:pPr>
    </w:p>
    <w:p w:rsidR="00D17465" w:rsidRDefault="00D17465" w:rsidP="00D17465">
      <w:pPr>
        <w:jc w:val="left"/>
      </w:pPr>
    </w:p>
    <w:p w:rsidR="00D17465" w:rsidRDefault="00D17465" w:rsidP="00D17465">
      <w:pPr>
        <w:jc w:val="left"/>
      </w:pPr>
    </w:p>
    <w:p w:rsidR="00D17465" w:rsidRDefault="00D17465" w:rsidP="00D17465">
      <w:pPr>
        <w:jc w:val="left"/>
      </w:pPr>
    </w:p>
    <w:p w:rsidR="00D17465" w:rsidRDefault="00D17465" w:rsidP="00D17465">
      <w:pPr>
        <w:jc w:val="left"/>
      </w:pPr>
    </w:p>
    <w:p w:rsidR="00D17465" w:rsidRDefault="00D17465" w:rsidP="00D17465">
      <w:pPr>
        <w:jc w:val="left"/>
      </w:pPr>
      <w:r>
        <w:lastRenderedPageBreak/>
        <w:t>References</w:t>
      </w:r>
    </w:p>
    <w:p w:rsidR="00D17465" w:rsidRDefault="00D17465" w:rsidP="00D17465">
      <w:pPr>
        <w:jc w:val="left"/>
      </w:pPr>
    </w:p>
    <w:p w:rsidR="00D17465" w:rsidRDefault="00D17465" w:rsidP="00D17465">
      <w:pPr>
        <w:jc w:val="left"/>
      </w:pPr>
      <w:r>
        <w:t>1. Department of Health. A White Paper on Tobacco. London: London: The Stationery Office; 1998.</w:t>
      </w:r>
    </w:p>
    <w:p w:rsidR="00D17465" w:rsidRDefault="00D17465" w:rsidP="00D17465">
      <w:pPr>
        <w:jc w:val="left"/>
      </w:pPr>
    </w:p>
    <w:p w:rsidR="00D17465" w:rsidRDefault="00D17465" w:rsidP="00D17465">
      <w:pPr>
        <w:jc w:val="left"/>
      </w:pPr>
      <w:r>
        <w:t>2. Action on smoking and health. Smoking statistics - Who smokes and how much [Internet]. 2014 [cited 5 September 2014]. Available from: http://ash.org.uk/files/documents/ASH_106.pdf</w:t>
      </w:r>
    </w:p>
    <w:p w:rsidR="00D17465" w:rsidRDefault="00D17465" w:rsidP="00D17465">
      <w:pPr>
        <w:jc w:val="left"/>
      </w:pPr>
    </w:p>
    <w:p w:rsidR="00D17465" w:rsidRDefault="00D17465" w:rsidP="00D17465">
      <w:pPr>
        <w:jc w:val="left"/>
      </w:pPr>
      <w:r>
        <w:t>3. Nice.org.uk. Smoking cessation in secondary care: acute, maternity and mental health services | Guidance and guidelines | NICE [Internet]. 2013 [cited 15 September 2015]. Available from: http://www.nice.org.uk/Guidance/PH48</w:t>
      </w:r>
    </w:p>
    <w:p w:rsidR="00D17465" w:rsidRDefault="00D17465" w:rsidP="00D17465">
      <w:pPr>
        <w:jc w:val="left"/>
      </w:pPr>
    </w:p>
    <w:p w:rsidR="00D17465" w:rsidRDefault="00D17465" w:rsidP="00D17465">
      <w:pPr>
        <w:jc w:val="left"/>
      </w:pPr>
      <w:r>
        <w:t>4. Robinson S, Bugler C. Smoking and drinking among adults, 2008 [Internet]. 1st ed. Newport: Crown; 2010 [cited 8 September 2014]. Available from: http://www.ons.gov.uk/ons/rel/ghs/general-lifestyle-survey/2008-report/smoking-and-drinking-among-adults--2008.pdf</w:t>
      </w:r>
    </w:p>
    <w:p w:rsidR="00D17465" w:rsidRDefault="00D17465" w:rsidP="00D17465">
      <w:pPr>
        <w:jc w:val="left"/>
      </w:pPr>
    </w:p>
    <w:p w:rsidR="00D17465" w:rsidRDefault="00D17465" w:rsidP="00D17465">
      <w:pPr>
        <w:jc w:val="left"/>
      </w:pPr>
      <w:r>
        <w:t>5. Shahab L. Cost-effectiveness of pharmacotherapy for smoking cessation [Internet]. 1st ed. London; 2012 [cited 14 September 2014]. Available from: http://www.ncsct.co.uk/usr/pub/B7_Cost-effectiveness_pharmacotherapy.pdf</w:t>
      </w:r>
    </w:p>
    <w:p w:rsidR="00BF5494" w:rsidRDefault="00BF5494" w:rsidP="00D17465">
      <w:pPr>
        <w:jc w:val="left"/>
      </w:pPr>
    </w:p>
    <w:sectPr w:rsidR="00BF5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D2B84"/>
    <w:multiLevelType w:val="hybridMultilevel"/>
    <w:tmpl w:val="870C6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71B04"/>
    <w:multiLevelType w:val="hybridMultilevel"/>
    <w:tmpl w:val="23A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442AA"/>
    <w:multiLevelType w:val="hybridMultilevel"/>
    <w:tmpl w:val="3084BA7A"/>
    <w:lvl w:ilvl="0" w:tplc="8C32F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B163C"/>
    <w:multiLevelType w:val="hybridMultilevel"/>
    <w:tmpl w:val="3F0E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C243E"/>
    <w:multiLevelType w:val="hybridMultilevel"/>
    <w:tmpl w:val="B9F23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9tpfdvd00e2epea0wepvre70ep55d5szsx2&quot;&gt;SmokingCessation&lt;record-ids&gt;&lt;item&gt;1&lt;/item&gt;&lt;item&gt;2&lt;/item&gt;&lt;item&gt;4&lt;/item&gt;&lt;item&gt;5&lt;/item&gt;&lt;/record-ids&gt;&lt;/item&gt;&lt;/Libraries&gt;"/>
  </w:docVars>
  <w:rsids>
    <w:rsidRoot w:val="00172777"/>
    <w:rsid w:val="00004017"/>
    <w:rsid w:val="00013CDF"/>
    <w:rsid w:val="0003305A"/>
    <w:rsid w:val="000412B8"/>
    <w:rsid w:val="00061ED9"/>
    <w:rsid w:val="00091C7C"/>
    <w:rsid w:val="000B1213"/>
    <w:rsid w:val="000B198D"/>
    <w:rsid w:val="000C3C7B"/>
    <w:rsid w:val="000F7DF7"/>
    <w:rsid w:val="00117DA2"/>
    <w:rsid w:val="0012793B"/>
    <w:rsid w:val="00136EBA"/>
    <w:rsid w:val="00140EC7"/>
    <w:rsid w:val="00140FDF"/>
    <w:rsid w:val="0014114A"/>
    <w:rsid w:val="001414C9"/>
    <w:rsid w:val="00156634"/>
    <w:rsid w:val="0017222E"/>
    <w:rsid w:val="00172777"/>
    <w:rsid w:val="001A7AB6"/>
    <w:rsid w:val="001E072B"/>
    <w:rsid w:val="001F5FFE"/>
    <w:rsid w:val="00202F94"/>
    <w:rsid w:val="00223C29"/>
    <w:rsid w:val="00287DDC"/>
    <w:rsid w:val="00294A60"/>
    <w:rsid w:val="002C73BB"/>
    <w:rsid w:val="002F2515"/>
    <w:rsid w:val="00325217"/>
    <w:rsid w:val="0034446D"/>
    <w:rsid w:val="00353107"/>
    <w:rsid w:val="00364658"/>
    <w:rsid w:val="00366795"/>
    <w:rsid w:val="00377360"/>
    <w:rsid w:val="00393557"/>
    <w:rsid w:val="003E45E5"/>
    <w:rsid w:val="003E5D5A"/>
    <w:rsid w:val="003E5EE3"/>
    <w:rsid w:val="00412B01"/>
    <w:rsid w:val="0044405E"/>
    <w:rsid w:val="004572AD"/>
    <w:rsid w:val="004D0B35"/>
    <w:rsid w:val="00507BD0"/>
    <w:rsid w:val="0051422A"/>
    <w:rsid w:val="00533954"/>
    <w:rsid w:val="005A20E1"/>
    <w:rsid w:val="005D3791"/>
    <w:rsid w:val="00601BEC"/>
    <w:rsid w:val="0061451A"/>
    <w:rsid w:val="00617CCC"/>
    <w:rsid w:val="00624D6B"/>
    <w:rsid w:val="00631505"/>
    <w:rsid w:val="00633E7B"/>
    <w:rsid w:val="00667383"/>
    <w:rsid w:val="00694B7D"/>
    <w:rsid w:val="006D34BD"/>
    <w:rsid w:val="006F4B99"/>
    <w:rsid w:val="0071417B"/>
    <w:rsid w:val="007250E8"/>
    <w:rsid w:val="0074083A"/>
    <w:rsid w:val="0076337B"/>
    <w:rsid w:val="00782EFF"/>
    <w:rsid w:val="00782F2B"/>
    <w:rsid w:val="007A48DA"/>
    <w:rsid w:val="007B60CA"/>
    <w:rsid w:val="007D1471"/>
    <w:rsid w:val="007D2EFE"/>
    <w:rsid w:val="007F589F"/>
    <w:rsid w:val="00825772"/>
    <w:rsid w:val="00836EC8"/>
    <w:rsid w:val="008442A6"/>
    <w:rsid w:val="00887DDC"/>
    <w:rsid w:val="008933CA"/>
    <w:rsid w:val="00896EE6"/>
    <w:rsid w:val="008B1919"/>
    <w:rsid w:val="008B54A7"/>
    <w:rsid w:val="008D254E"/>
    <w:rsid w:val="008D58A5"/>
    <w:rsid w:val="008D79A5"/>
    <w:rsid w:val="008E13F2"/>
    <w:rsid w:val="00902036"/>
    <w:rsid w:val="00937231"/>
    <w:rsid w:val="00977B91"/>
    <w:rsid w:val="00977EA0"/>
    <w:rsid w:val="009A4B68"/>
    <w:rsid w:val="009C3F06"/>
    <w:rsid w:val="009D0676"/>
    <w:rsid w:val="009E6783"/>
    <w:rsid w:val="009F36A0"/>
    <w:rsid w:val="00A1476F"/>
    <w:rsid w:val="00A246DA"/>
    <w:rsid w:val="00A74EA8"/>
    <w:rsid w:val="00AA20E7"/>
    <w:rsid w:val="00AC6DA8"/>
    <w:rsid w:val="00AD2324"/>
    <w:rsid w:val="00AE369C"/>
    <w:rsid w:val="00B14DCD"/>
    <w:rsid w:val="00B96EA4"/>
    <w:rsid w:val="00BB2764"/>
    <w:rsid w:val="00BF5494"/>
    <w:rsid w:val="00C14028"/>
    <w:rsid w:val="00C27EE8"/>
    <w:rsid w:val="00C30DCC"/>
    <w:rsid w:val="00C66EF3"/>
    <w:rsid w:val="00C67644"/>
    <w:rsid w:val="00C70B0E"/>
    <w:rsid w:val="00C747E3"/>
    <w:rsid w:val="00CD563A"/>
    <w:rsid w:val="00CE1755"/>
    <w:rsid w:val="00CE37D3"/>
    <w:rsid w:val="00CE4890"/>
    <w:rsid w:val="00CF7C53"/>
    <w:rsid w:val="00D072C1"/>
    <w:rsid w:val="00D142D9"/>
    <w:rsid w:val="00D17465"/>
    <w:rsid w:val="00D23DEB"/>
    <w:rsid w:val="00D24B60"/>
    <w:rsid w:val="00D52166"/>
    <w:rsid w:val="00D52368"/>
    <w:rsid w:val="00D5779F"/>
    <w:rsid w:val="00D63BD8"/>
    <w:rsid w:val="00D77BFF"/>
    <w:rsid w:val="00D91E32"/>
    <w:rsid w:val="00DC2BB8"/>
    <w:rsid w:val="00DD1699"/>
    <w:rsid w:val="00DE5BC5"/>
    <w:rsid w:val="00DE6156"/>
    <w:rsid w:val="00DF34EE"/>
    <w:rsid w:val="00E0490E"/>
    <w:rsid w:val="00E25BA4"/>
    <w:rsid w:val="00E66218"/>
    <w:rsid w:val="00E73451"/>
    <w:rsid w:val="00EA27C1"/>
    <w:rsid w:val="00EB21D5"/>
    <w:rsid w:val="00EC0791"/>
    <w:rsid w:val="00EC26D2"/>
    <w:rsid w:val="00ED11A5"/>
    <w:rsid w:val="00EE4BA8"/>
    <w:rsid w:val="00EF0C00"/>
    <w:rsid w:val="00EF180D"/>
    <w:rsid w:val="00F151E2"/>
    <w:rsid w:val="00F368FA"/>
    <w:rsid w:val="00F608F9"/>
    <w:rsid w:val="00F70301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2D5AA-6D71-466C-97C2-EE0331B6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17"/>
    <w:pPr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D5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A4B6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CE175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1755"/>
  </w:style>
  <w:style w:type="character" w:customStyle="1" w:styleId="EndNoteBibliographyTitleChar">
    <w:name w:val="EndNote Bibliography Title Char"/>
    <w:basedOn w:val="ListParagraphChar"/>
    <w:link w:val="EndNoteBibliographyTitle"/>
    <w:rsid w:val="00CE175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E175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CE1755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C9E0-B144-42DC-AEDF-CF578EC3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Cassar</dc:creator>
  <cp:keywords/>
  <dc:description/>
  <cp:lastModifiedBy>Mark Cassar</cp:lastModifiedBy>
  <cp:revision>9</cp:revision>
  <dcterms:created xsi:type="dcterms:W3CDTF">2014-09-10T17:20:00Z</dcterms:created>
  <dcterms:modified xsi:type="dcterms:W3CDTF">2015-04-05T20:09:00Z</dcterms:modified>
</cp:coreProperties>
</file>