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BC" w:rsidRDefault="00445EBC" w:rsidP="00552CAA">
      <w:pPr>
        <w:rPr>
          <w:b/>
          <w:color w:val="333333"/>
          <w:sz w:val="24"/>
          <w:szCs w:val="24"/>
        </w:rPr>
      </w:pPr>
      <w:r>
        <w:rPr>
          <w:b/>
          <w:sz w:val="24"/>
          <w:szCs w:val="24"/>
        </w:rPr>
        <w:t>Supplementary file Methods</w:t>
      </w:r>
      <w:r w:rsidRPr="00552CAA">
        <w:rPr>
          <w:b/>
          <w:sz w:val="24"/>
          <w:szCs w:val="24"/>
        </w:rPr>
        <w:t>:</w:t>
      </w:r>
      <w:r w:rsidRPr="00552CAA">
        <w:rPr>
          <w:b/>
          <w:color w:val="333333"/>
          <w:sz w:val="24"/>
          <w:szCs w:val="24"/>
        </w:rPr>
        <w:t xml:space="preserve">  </w:t>
      </w:r>
    </w:p>
    <w:p w:rsidR="00445EBC" w:rsidRDefault="00445EBC" w:rsidP="00552CAA">
      <w:pPr>
        <w:rPr>
          <w:rFonts w:eastAsia="Batang"/>
          <w:b/>
          <w:color w:val="231F20"/>
          <w:sz w:val="24"/>
          <w:szCs w:val="24"/>
          <w:lang w:eastAsia="ko-KR"/>
        </w:rPr>
      </w:pPr>
      <w:r>
        <w:rPr>
          <w:b/>
          <w:color w:val="333333"/>
          <w:sz w:val="24"/>
          <w:szCs w:val="24"/>
        </w:rPr>
        <w:t xml:space="preserve">Table 1: Baseline </w:t>
      </w:r>
      <w:r w:rsidRPr="00552CAA">
        <w:rPr>
          <w:b/>
          <w:color w:val="333333"/>
          <w:sz w:val="24"/>
          <w:szCs w:val="24"/>
        </w:rPr>
        <w:t xml:space="preserve">Pancreas </w:t>
      </w:r>
      <w:r w:rsidRPr="00552CAA">
        <w:rPr>
          <w:rFonts w:eastAsia="Batang"/>
          <w:b/>
          <w:color w:val="231F20"/>
          <w:sz w:val="24"/>
          <w:szCs w:val="24"/>
          <w:lang w:eastAsia="ko-KR"/>
        </w:rPr>
        <w:t>post-operative morbidity 2010</w:t>
      </w:r>
    </w:p>
    <w:p w:rsidR="00445EBC" w:rsidRPr="00552CAA" w:rsidRDefault="00445EBC" w:rsidP="00552CAA">
      <w:pPr>
        <w:rPr>
          <w:b/>
        </w:rPr>
      </w:pPr>
    </w:p>
    <w:p w:rsidR="00445EBC" w:rsidRDefault="00445EB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0pt;height:519.75pt;visibility:visible">
            <v:imagedata r:id="rId5" o:title=""/>
          </v:shape>
        </w:pict>
      </w:r>
    </w:p>
    <w:p w:rsidR="00445EBC" w:rsidRDefault="00445EBC"/>
    <w:p w:rsidR="00445EBC" w:rsidRDefault="00445EBC" w:rsidP="00AD77D0">
      <w:r>
        <w:t xml:space="preserve">(Permission to reprint above given by publisher: </w:t>
      </w:r>
      <w:r w:rsidRPr="000B78C0">
        <w:t xml:space="preserve">S. Karger AG Basel </w:t>
      </w:r>
      <w:r>
        <w:t xml:space="preserve"> (2))</w:t>
      </w:r>
    </w:p>
    <w:p w:rsidR="00445EBC" w:rsidRDefault="00445EBC"/>
    <w:p w:rsidR="00445EBC" w:rsidRPr="00552CAA" w:rsidRDefault="00445EBC">
      <w:pPr>
        <w:rPr>
          <w:b/>
          <w:sz w:val="24"/>
          <w:szCs w:val="24"/>
        </w:rPr>
      </w:pPr>
      <w:r>
        <w:rPr>
          <w:b/>
          <w:sz w:val="24"/>
          <w:szCs w:val="24"/>
        </w:rPr>
        <w:t xml:space="preserve">Figure 1: </w:t>
      </w:r>
      <w:r w:rsidRPr="00552CAA">
        <w:rPr>
          <w:b/>
          <w:color w:val="333333"/>
          <w:sz w:val="24"/>
          <w:szCs w:val="24"/>
        </w:rPr>
        <w:t xml:space="preserve">Pancreas </w:t>
      </w:r>
      <w:r w:rsidRPr="00552CAA">
        <w:rPr>
          <w:rFonts w:eastAsia="Batang"/>
          <w:b/>
          <w:color w:val="231F20"/>
          <w:sz w:val="24"/>
          <w:szCs w:val="24"/>
          <w:lang w:eastAsia="ko-KR"/>
        </w:rPr>
        <w:t>post-operative complications according to the ISGPS definitions</w:t>
      </w:r>
      <w:r>
        <w:rPr>
          <w:rFonts w:eastAsia="Batang"/>
          <w:b/>
          <w:color w:val="231F20"/>
          <w:sz w:val="24"/>
          <w:szCs w:val="24"/>
          <w:lang w:eastAsia="ko-KR"/>
        </w:rPr>
        <w:t xml:space="preserve"> (2)</w:t>
      </w:r>
    </w:p>
    <w:p w:rsidR="00445EBC" w:rsidRDefault="00445EBC">
      <w:r>
        <w:rPr>
          <w:noProof/>
        </w:rPr>
        <w:pict>
          <v:shape id="Picture 1" o:spid="_x0000_i1026" type="#_x0000_t75" style="width:381pt;height:301.5pt;visibility:visible">
            <v:imagedata r:id="rId6" o:title=""/>
          </v:shape>
        </w:pict>
      </w:r>
    </w:p>
    <w:p w:rsidR="00445EBC" w:rsidRDefault="00445EBC"/>
    <w:p w:rsidR="00445EBC" w:rsidRDefault="00445EBC">
      <w:r>
        <w:t xml:space="preserve">(Permission to reprint above given by publisher: </w:t>
      </w:r>
      <w:r w:rsidRPr="000B78C0">
        <w:t xml:space="preserve">S. Karger AG Basel </w:t>
      </w:r>
      <w:r>
        <w:t xml:space="preserve"> (2))</w:t>
      </w:r>
    </w:p>
    <w:p w:rsidR="00445EBC" w:rsidRDefault="00445EBC">
      <w:bookmarkStart w:id="0" w:name="_GoBack"/>
      <w:bookmarkEnd w:id="0"/>
    </w:p>
    <w:p w:rsidR="00445EBC" w:rsidRDefault="00445EBC"/>
    <w:p w:rsidR="00445EBC" w:rsidRDefault="00445EBC"/>
    <w:p w:rsidR="00445EBC" w:rsidRDefault="00445EBC"/>
    <w:p w:rsidR="00445EBC" w:rsidRDefault="00445EBC"/>
    <w:p w:rsidR="00445EBC" w:rsidRDefault="00445EBC"/>
    <w:p w:rsidR="00445EBC" w:rsidRDefault="00445EBC"/>
    <w:p w:rsidR="00445EBC" w:rsidRDefault="00445EBC"/>
    <w:p w:rsidR="00445EBC" w:rsidRDefault="00445EBC"/>
    <w:p w:rsidR="00445EBC" w:rsidRDefault="00445EBC"/>
    <w:p w:rsidR="00445EBC" w:rsidRDefault="00445EBC">
      <w:pPr>
        <w:rPr>
          <w:b/>
          <w:sz w:val="24"/>
          <w:szCs w:val="24"/>
        </w:rPr>
      </w:pPr>
    </w:p>
    <w:p w:rsidR="00445EBC" w:rsidRDefault="00445EBC">
      <w:pPr>
        <w:rPr>
          <w:b/>
          <w:sz w:val="24"/>
          <w:szCs w:val="24"/>
        </w:rPr>
      </w:pPr>
    </w:p>
    <w:p w:rsidR="00445EBC" w:rsidRDefault="00445EBC">
      <w:pPr>
        <w:rPr>
          <w:b/>
          <w:sz w:val="24"/>
          <w:szCs w:val="24"/>
        </w:rPr>
      </w:pPr>
      <w:r w:rsidRPr="00AE408F">
        <w:rPr>
          <w:b/>
          <w:sz w:val="24"/>
          <w:szCs w:val="24"/>
        </w:rPr>
        <w:t>Supplementary</w:t>
      </w:r>
      <w:r>
        <w:rPr>
          <w:b/>
          <w:sz w:val="24"/>
          <w:szCs w:val="24"/>
        </w:rPr>
        <w:t xml:space="preserve"> file: The HPB QIP Proforma</w:t>
      </w:r>
    </w:p>
    <w:p w:rsidR="00445EBC" w:rsidRPr="00AE408F" w:rsidRDefault="00445EBC" w:rsidP="00AE408F">
      <w:pPr>
        <w:spacing w:after="0" w:line="240" w:lineRule="auto"/>
        <w:rPr>
          <w:b/>
          <w:lang w:eastAsia="en-US"/>
        </w:rPr>
      </w:pPr>
      <w:r w:rsidRPr="00AE408F">
        <w:rPr>
          <w:b/>
          <w:lang w:eastAsia="en-US"/>
        </w:rPr>
        <w:t>Patient Demographics: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07"/>
      </w:tblGrid>
      <w:tr w:rsidR="00445EBC" w:rsidRPr="00A55924" w:rsidTr="0003482B">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Name</w:t>
            </w:r>
          </w:p>
          <w:p w:rsidR="00445EBC" w:rsidRPr="00AE408F" w:rsidRDefault="00445EBC" w:rsidP="00AE408F">
            <w:pPr>
              <w:spacing w:after="0" w:line="240" w:lineRule="auto"/>
              <w:rPr>
                <w:sz w:val="18"/>
                <w:szCs w:val="18"/>
                <w:lang w:eastAsia="en-US"/>
              </w:rPr>
            </w:pPr>
          </w:p>
        </w:tc>
        <w:tc>
          <w:tcPr>
            <w:tcW w:w="7007" w:type="dxa"/>
          </w:tcPr>
          <w:p w:rsidR="00445EBC" w:rsidRPr="00AE408F" w:rsidRDefault="00445EBC" w:rsidP="00AE408F">
            <w:pPr>
              <w:spacing w:after="0" w:line="240" w:lineRule="auto"/>
              <w:rPr>
                <w:sz w:val="18"/>
                <w:szCs w:val="18"/>
                <w:lang w:eastAsia="en-US"/>
              </w:rPr>
            </w:pPr>
          </w:p>
        </w:tc>
      </w:tr>
      <w:tr w:rsidR="00445EBC" w:rsidRPr="00A55924" w:rsidTr="0003482B">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Unit Number</w:t>
            </w:r>
          </w:p>
          <w:p w:rsidR="00445EBC" w:rsidRPr="00AE408F" w:rsidRDefault="00445EBC" w:rsidP="00AE408F">
            <w:pPr>
              <w:spacing w:after="0" w:line="240" w:lineRule="auto"/>
              <w:rPr>
                <w:sz w:val="18"/>
                <w:szCs w:val="18"/>
                <w:lang w:eastAsia="en-US"/>
              </w:rPr>
            </w:pPr>
          </w:p>
        </w:tc>
        <w:tc>
          <w:tcPr>
            <w:tcW w:w="7007" w:type="dxa"/>
          </w:tcPr>
          <w:p w:rsidR="00445EBC" w:rsidRPr="00AE408F" w:rsidRDefault="00445EBC" w:rsidP="00AE408F">
            <w:pPr>
              <w:spacing w:after="0" w:line="240" w:lineRule="auto"/>
              <w:rPr>
                <w:sz w:val="18"/>
                <w:szCs w:val="18"/>
                <w:lang w:eastAsia="en-US"/>
              </w:rPr>
            </w:pPr>
          </w:p>
        </w:tc>
      </w:tr>
      <w:tr w:rsidR="00445EBC" w:rsidRPr="00A55924" w:rsidTr="0003482B">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DOB</w:t>
            </w:r>
          </w:p>
          <w:p w:rsidR="00445EBC" w:rsidRPr="00AE408F" w:rsidRDefault="00445EBC" w:rsidP="00AE408F">
            <w:pPr>
              <w:spacing w:after="0" w:line="240" w:lineRule="auto"/>
              <w:rPr>
                <w:sz w:val="18"/>
                <w:szCs w:val="18"/>
                <w:lang w:eastAsia="en-US"/>
              </w:rPr>
            </w:pPr>
          </w:p>
        </w:tc>
        <w:tc>
          <w:tcPr>
            <w:tcW w:w="7007" w:type="dxa"/>
          </w:tcPr>
          <w:p w:rsidR="00445EBC" w:rsidRPr="00AE408F" w:rsidRDefault="00445EBC" w:rsidP="00AE408F">
            <w:pPr>
              <w:spacing w:after="0" w:line="240" w:lineRule="auto"/>
              <w:rPr>
                <w:sz w:val="18"/>
                <w:szCs w:val="18"/>
                <w:lang w:eastAsia="en-US"/>
              </w:rPr>
            </w:pPr>
          </w:p>
        </w:tc>
      </w:tr>
      <w:tr w:rsidR="00445EBC" w:rsidRPr="00A55924" w:rsidTr="0003482B">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 xml:space="preserve">Consultant </w:t>
            </w:r>
          </w:p>
          <w:p w:rsidR="00445EBC" w:rsidRPr="00AE408F" w:rsidRDefault="00445EBC" w:rsidP="00AE408F">
            <w:pPr>
              <w:spacing w:after="0" w:line="240" w:lineRule="auto"/>
              <w:rPr>
                <w:sz w:val="18"/>
                <w:szCs w:val="18"/>
                <w:lang w:eastAsia="en-US"/>
              </w:rPr>
            </w:pPr>
          </w:p>
        </w:tc>
        <w:tc>
          <w:tcPr>
            <w:tcW w:w="7007" w:type="dxa"/>
          </w:tcPr>
          <w:p w:rsidR="00445EBC" w:rsidRPr="00AE408F" w:rsidRDefault="00445EBC" w:rsidP="00AE408F">
            <w:pPr>
              <w:spacing w:after="0" w:line="240" w:lineRule="auto"/>
              <w:rPr>
                <w:sz w:val="18"/>
                <w:szCs w:val="18"/>
                <w:lang w:eastAsia="en-US"/>
              </w:rPr>
            </w:pPr>
          </w:p>
        </w:tc>
      </w:tr>
    </w:tbl>
    <w:p w:rsidR="00445EBC" w:rsidRPr="00AE408F" w:rsidRDefault="00445EBC" w:rsidP="00AE408F">
      <w:pPr>
        <w:spacing w:after="0" w:line="240" w:lineRule="auto"/>
        <w:rPr>
          <w:sz w:val="18"/>
          <w:szCs w:val="18"/>
          <w:lang w:eastAsia="en-US"/>
        </w:rPr>
      </w:pPr>
    </w:p>
    <w:p w:rsidR="00445EBC" w:rsidRPr="00AE408F" w:rsidRDefault="00445EBC" w:rsidP="00AE408F">
      <w:pPr>
        <w:spacing w:after="0" w:line="240" w:lineRule="auto"/>
        <w:rPr>
          <w:b/>
          <w:lang w:eastAsia="en-US"/>
        </w:rPr>
      </w:pPr>
      <w:r w:rsidRPr="00AE408F">
        <w:rPr>
          <w:b/>
          <w:lang w:eastAsia="en-US"/>
        </w:rPr>
        <w:t>Operative Details:</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74"/>
      </w:tblGrid>
      <w:tr w:rsidR="00445EBC" w:rsidRPr="00A55924" w:rsidTr="0003482B">
        <w:trPr>
          <w:trHeight w:val="260"/>
        </w:trPr>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 xml:space="preserve">Operation </w:t>
            </w:r>
          </w:p>
          <w:p w:rsidR="00445EBC" w:rsidRPr="00AE408F" w:rsidRDefault="00445EBC" w:rsidP="00AE408F">
            <w:pPr>
              <w:spacing w:after="0" w:line="240" w:lineRule="auto"/>
              <w:rPr>
                <w:sz w:val="18"/>
                <w:szCs w:val="18"/>
                <w:lang w:eastAsia="en-US"/>
              </w:rPr>
            </w:pPr>
          </w:p>
        </w:tc>
        <w:tc>
          <w:tcPr>
            <w:tcW w:w="7074" w:type="dxa"/>
          </w:tcPr>
          <w:p w:rsidR="00445EBC" w:rsidRPr="00AE408F" w:rsidRDefault="00445EBC" w:rsidP="00AE408F">
            <w:pPr>
              <w:spacing w:after="0" w:line="240" w:lineRule="auto"/>
              <w:rPr>
                <w:sz w:val="18"/>
                <w:szCs w:val="18"/>
                <w:lang w:eastAsia="en-US"/>
              </w:rPr>
            </w:pPr>
          </w:p>
        </w:tc>
      </w:tr>
      <w:tr w:rsidR="00445EBC" w:rsidRPr="00A55924" w:rsidTr="0003482B">
        <w:trPr>
          <w:trHeight w:val="246"/>
        </w:trPr>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Date</w:t>
            </w:r>
          </w:p>
          <w:p w:rsidR="00445EBC" w:rsidRPr="00AE408F" w:rsidRDefault="00445EBC" w:rsidP="00AE408F">
            <w:pPr>
              <w:spacing w:after="0" w:line="240" w:lineRule="auto"/>
              <w:rPr>
                <w:sz w:val="18"/>
                <w:szCs w:val="18"/>
                <w:lang w:eastAsia="en-US"/>
              </w:rPr>
            </w:pPr>
            <w:r w:rsidRPr="00AE408F">
              <w:rPr>
                <w:sz w:val="18"/>
                <w:szCs w:val="18"/>
                <w:lang w:eastAsia="en-US"/>
              </w:rPr>
              <w:t>Time</w:t>
            </w:r>
          </w:p>
        </w:tc>
        <w:tc>
          <w:tcPr>
            <w:tcW w:w="7074" w:type="dxa"/>
          </w:tcPr>
          <w:p w:rsidR="00445EBC" w:rsidRPr="00AE408F" w:rsidRDefault="00445EBC" w:rsidP="00AE408F">
            <w:pPr>
              <w:spacing w:after="0" w:line="240" w:lineRule="auto"/>
              <w:rPr>
                <w:sz w:val="18"/>
                <w:szCs w:val="18"/>
                <w:lang w:eastAsia="en-US"/>
              </w:rPr>
            </w:pPr>
          </w:p>
        </w:tc>
      </w:tr>
      <w:tr w:rsidR="00445EBC" w:rsidRPr="00A55924" w:rsidTr="0003482B">
        <w:trPr>
          <w:trHeight w:val="274"/>
        </w:trPr>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Operating surgeon</w:t>
            </w:r>
          </w:p>
          <w:p w:rsidR="00445EBC" w:rsidRPr="00AE408F" w:rsidRDefault="00445EBC" w:rsidP="00AE408F">
            <w:pPr>
              <w:spacing w:after="0" w:line="240" w:lineRule="auto"/>
              <w:rPr>
                <w:sz w:val="18"/>
                <w:szCs w:val="18"/>
                <w:lang w:eastAsia="en-US"/>
              </w:rPr>
            </w:pPr>
          </w:p>
        </w:tc>
        <w:tc>
          <w:tcPr>
            <w:tcW w:w="7074" w:type="dxa"/>
          </w:tcPr>
          <w:p w:rsidR="00445EBC" w:rsidRPr="00AE408F" w:rsidRDefault="00445EBC" w:rsidP="00AE408F">
            <w:pPr>
              <w:spacing w:after="0" w:line="240" w:lineRule="auto"/>
              <w:rPr>
                <w:sz w:val="18"/>
                <w:szCs w:val="18"/>
                <w:lang w:eastAsia="en-US"/>
              </w:rPr>
            </w:pPr>
          </w:p>
        </w:tc>
      </w:tr>
      <w:tr w:rsidR="00445EBC" w:rsidRPr="00A55924" w:rsidTr="0003482B">
        <w:trPr>
          <w:trHeight w:val="274"/>
        </w:trPr>
        <w:tc>
          <w:tcPr>
            <w:tcW w:w="2235" w:type="dxa"/>
            <w:shd w:val="clear" w:color="auto" w:fill="DDD9C3"/>
          </w:tcPr>
          <w:p w:rsidR="00445EBC" w:rsidRPr="00AE408F" w:rsidRDefault="00445EBC" w:rsidP="00AE408F">
            <w:pPr>
              <w:spacing w:after="0" w:line="240" w:lineRule="auto"/>
              <w:rPr>
                <w:sz w:val="18"/>
                <w:szCs w:val="18"/>
                <w:lang w:eastAsia="en-US"/>
              </w:rPr>
            </w:pPr>
            <w:r w:rsidRPr="00AE408F">
              <w:rPr>
                <w:sz w:val="18"/>
                <w:szCs w:val="18"/>
                <w:lang w:eastAsia="en-US"/>
              </w:rPr>
              <w:t>Elective / Emergency</w:t>
            </w:r>
          </w:p>
          <w:p w:rsidR="00445EBC" w:rsidRPr="00AE408F" w:rsidRDefault="00445EBC" w:rsidP="00AE408F">
            <w:pPr>
              <w:spacing w:after="0" w:line="240" w:lineRule="auto"/>
              <w:rPr>
                <w:sz w:val="18"/>
                <w:szCs w:val="18"/>
                <w:lang w:eastAsia="en-US"/>
              </w:rPr>
            </w:pPr>
          </w:p>
        </w:tc>
        <w:tc>
          <w:tcPr>
            <w:tcW w:w="7074" w:type="dxa"/>
          </w:tcPr>
          <w:p w:rsidR="00445EBC" w:rsidRPr="00AE408F" w:rsidRDefault="00445EBC" w:rsidP="00AE408F">
            <w:pPr>
              <w:spacing w:after="0" w:line="240" w:lineRule="auto"/>
              <w:rPr>
                <w:sz w:val="18"/>
                <w:szCs w:val="18"/>
                <w:lang w:eastAsia="en-US"/>
              </w:rPr>
            </w:pPr>
          </w:p>
        </w:tc>
      </w:tr>
    </w:tbl>
    <w:p w:rsidR="00445EBC" w:rsidRPr="00AE408F" w:rsidRDefault="00445EBC" w:rsidP="00AE408F">
      <w:pPr>
        <w:spacing w:after="0" w:line="240" w:lineRule="auto"/>
        <w:rPr>
          <w:sz w:val="18"/>
          <w:szCs w:val="18"/>
          <w:lang w:eastAsia="en-US"/>
        </w:rPr>
      </w:pPr>
    </w:p>
    <w:p w:rsidR="00445EBC" w:rsidRPr="00AE408F" w:rsidRDefault="00445EBC" w:rsidP="00AE408F">
      <w:pPr>
        <w:spacing w:after="0" w:line="240" w:lineRule="auto"/>
        <w:rPr>
          <w:sz w:val="18"/>
          <w:szCs w:val="18"/>
          <w:lang w:eastAsia="en-US"/>
        </w:rPr>
      </w:pPr>
      <w:r w:rsidRPr="00AE408F">
        <w:rPr>
          <w:b/>
          <w:lang w:eastAsia="en-US"/>
        </w:rPr>
        <w:t xml:space="preserve">Complication Codes: </w:t>
      </w:r>
      <w:r w:rsidRPr="00AE408F">
        <w:rPr>
          <w:sz w:val="18"/>
          <w:szCs w:val="18"/>
          <w:lang w:eastAsia="en-US"/>
        </w:rPr>
        <w:t>(Please note date diagnosis made if applicable)</w:t>
      </w:r>
    </w:p>
    <w:tbl>
      <w:tblPr>
        <w:tblW w:w="104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73"/>
        <w:gridCol w:w="2135"/>
        <w:gridCol w:w="2135"/>
        <w:gridCol w:w="2135"/>
        <w:gridCol w:w="1797"/>
      </w:tblGrid>
      <w:tr w:rsidR="00445EBC" w:rsidRPr="00A55924" w:rsidTr="0003482B">
        <w:trPr>
          <w:trHeight w:val="178"/>
        </w:trPr>
        <w:tc>
          <w:tcPr>
            <w:tcW w:w="674" w:type="dxa"/>
            <w:shd w:val="clear" w:color="auto" w:fill="DDD9C3"/>
          </w:tcPr>
          <w:p w:rsidR="00445EBC" w:rsidRPr="00AE408F" w:rsidRDefault="00445EBC" w:rsidP="00AE408F">
            <w:pPr>
              <w:spacing w:after="0" w:line="240" w:lineRule="auto"/>
              <w:jc w:val="center"/>
              <w:rPr>
                <w:sz w:val="18"/>
                <w:szCs w:val="18"/>
                <w:lang w:eastAsia="en-US"/>
              </w:rPr>
            </w:pPr>
            <w:r w:rsidRPr="00AE408F">
              <w:rPr>
                <w:sz w:val="18"/>
                <w:szCs w:val="18"/>
                <w:lang w:eastAsia="en-US"/>
              </w:rPr>
              <w:t>Code</w:t>
            </w:r>
          </w:p>
        </w:tc>
        <w:tc>
          <w:tcPr>
            <w:tcW w:w="1573" w:type="dxa"/>
            <w:shd w:val="clear" w:color="auto" w:fill="DDD9C3"/>
          </w:tcPr>
          <w:p w:rsidR="00445EBC" w:rsidRPr="00AE408F" w:rsidRDefault="00445EBC" w:rsidP="00AE408F">
            <w:pPr>
              <w:spacing w:after="0" w:line="240" w:lineRule="auto"/>
              <w:jc w:val="center"/>
              <w:rPr>
                <w:sz w:val="18"/>
                <w:szCs w:val="18"/>
                <w:lang w:eastAsia="en-US"/>
              </w:rPr>
            </w:pPr>
            <w:r w:rsidRPr="00AE408F">
              <w:rPr>
                <w:sz w:val="18"/>
                <w:szCs w:val="18"/>
                <w:lang w:eastAsia="en-US"/>
              </w:rPr>
              <w:t>Complication</w:t>
            </w:r>
          </w:p>
        </w:tc>
        <w:tc>
          <w:tcPr>
            <w:tcW w:w="2135" w:type="dxa"/>
            <w:shd w:val="clear" w:color="auto" w:fill="DDD9C3"/>
          </w:tcPr>
          <w:p w:rsidR="00445EBC" w:rsidRPr="00AE408F" w:rsidRDefault="00445EBC" w:rsidP="00AE408F">
            <w:pPr>
              <w:spacing w:after="0" w:line="240" w:lineRule="auto"/>
              <w:jc w:val="center"/>
              <w:rPr>
                <w:sz w:val="18"/>
                <w:szCs w:val="18"/>
                <w:lang w:eastAsia="en-US"/>
              </w:rPr>
            </w:pPr>
            <w:r w:rsidRPr="00AE408F">
              <w:rPr>
                <w:sz w:val="18"/>
                <w:szCs w:val="18"/>
                <w:lang w:eastAsia="en-US"/>
              </w:rPr>
              <w:t>Grade</w:t>
            </w:r>
          </w:p>
        </w:tc>
        <w:tc>
          <w:tcPr>
            <w:tcW w:w="2135" w:type="dxa"/>
            <w:shd w:val="clear" w:color="auto" w:fill="DDD9C3"/>
          </w:tcPr>
          <w:p w:rsidR="00445EBC" w:rsidRPr="00AE408F" w:rsidRDefault="00445EBC" w:rsidP="00AE408F">
            <w:pPr>
              <w:spacing w:after="0" w:line="240" w:lineRule="auto"/>
              <w:jc w:val="center"/>
              <w:rPr>
                <w:sz w:val="18"/>
                <w:szCs w:val="18"/>
                <w:lang w:eastAsia="en-US"/>
              </w:rPr>
            </w:pPr>
            <w:r w:rsidRPr="00AE408F">
              <w:rPr>
                <w:sz w:val="18"/>
                <w:szCs w:val="18"/>
                <w:lang w:eastAsia="en-US"/>
              </w:rPr>
              <w:t>Justified</w:t>
            </w:r>
          </w:p>
        </w:tc>
        <w:tc>
          <w:tcPr>
            <w:tcW w:w="2135" w:type="dxa"/>
            <w:shd w:val="clear" w:color="auto" w:fill="DDD9C3"/>
          </w:tcPr>
          <w:p w:rsidR="00445EBC" w:rsidRPr="00AE408F" w:rsidRDefault="00445EBC" w:rsidP="00AE408F">
            <w:pPr>
              <w:spacing w:after="0" w:line="240" w:lineRule="auto"/>
              <w:jc w:val="center"/>
              <w:rPr>
                <w:sz w:val="18"/>
                <w:szCs w:val="18"/>
                <w:lang w:eastAsia="en-US"/>
              </w:rPr>
            </w:pPr>
            <w:r w:rsidRPr="00AE408F">
              <w:rPr>
                <w:sz w:val="18"/>
                <w:szCs w:val="18"/>
                <w:lang w:eastAsia="en-US"/>
              </w:rPr>
              <w:t>Error</w:t>
            </w:r>
          </w:p>
        </w:tc>
        <w:tc>
          <w:tcPr>
            <w:tcW w:w="1797" w:type="dxa"/>
            <w:shd w:val="clear" w:color="auto" w:fill="DDD9C3"/>
          </w:tcPr>
          <w:p w:rsidR="00445EBC" w:rsidRPr="00AE408F" w:rsidRDefault="00445EBC" w:rsidP="00AE408F">
            <w:pPr>
              <w:spacing w:after="0" w:line="240" w:lineRule="auto"/>
              <w:jc w:val="center"/>
              <w:rPr>
                <w:sz w:val="18"/>
                <w:szCs w:val="18"/>
                <w:lang w:eastAsia="en-US"/>
              </w:rPr>
            </w:pPr>
            <w:r w:rsidRPr="00AE408F">
              <w:rPr>
                <w:sz w:val="18"/>
                <w:szCs w:val="18"/>
                <w:lang w:eastAsia="en-US"/>
              </w:rPr>
              <w:t>Action Plan</w:t>
            </w: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A</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Pancreatic fistula</w:t>
            </w: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B</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Delayed gastric emptying</w:t>
            </w: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49"/>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C</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Post pancreatectomy</w:t>
            </w:r>
          </w:p>
          <w:p w:rsidR="00445EBC" w:rsidRPr="00AE408F" w:rsidRDefault="00445EBC" w:rsidP="00AE408F">
            <w:pPr>
              <w:spacing w:after="0" w:line="240" w:lineRule="auto"/>
              <w:rPr>
                <w:b/>
                <w:sz w:val="16"/>
                <w:szCs w:val="16"/>
                <w:lang w:eastAsia="en-US"/>
              </w:rPr>
            </w:pPr>
            <w:r w:rsidRPr="00AE408F">
              <w:rPr>
                <w:b/>
                <w:sz w:val="16"/>
                <w:szCs w:val="16"/>
                <w:lang w:eastAsia="en-US"/>
              </w:rPr>
              <w:t>Haemorrhage</w:t>
            </w: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D</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Bile leak</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58"/>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E</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Liver failure</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91"/>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F</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Post hepatectomy haemorrhage</w:t>
            </w: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G</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Cardiac</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H</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Pulmonary</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49"/>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I</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DVT/PE</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J</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Wound</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49"/>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K</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Other</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L</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Readmission within 30 days</w:t>
            </w: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M</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Death</w:t>
            </w:r>
          </w:p>
          <w:p w:rsidR="00445EBC" w:rsidRPr="00AE408F" w:rsidRDefault="00445EBC" w:rsidP="00AE408F">
            <w:pPr>
              <w:spacing w:after="0" w:line="240" w:lineRule="auto"/>
              <w:rPr>
                <w:b/>
                <w:sz w:val="16"/>
                <w:szCs w:val="16"/>
                <w:lang w:eastAsia="en-US"/>
              </w:rPr>
            </w:pPr>
          </w:p>
          <w:p w:rsidR="00445EBC" w:rsidRPr="00AE408F" w:rsidRDefault="00445EBC" w:rsidP="00AE408F">
            <w:pPr>
              <w:spacing w:after="0" w:line="240" w:lineRule="auto"/>
              <w:rPr>
                <w:b/>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r w:rsidR="00445EBC" w:rsidRPr="00A55924" w:rsidTr="0003482B">
        <w:trPr>
          <w:trHeight w:val="562"/>
        </w:trPr>
        <w:tc>
          <w:tcPr>
            <w:tcW w:w="674" w:type="dxa"/>
          </w:tcPr>
          <w:p w:rsidR="00445EBC" w:rsidRPr="00AE408F" w:rsidRDefault="00445EBC" w:rsidP="00AE408F">
            <w:pPr>
              <w:spacing w:after="0" w:line="240" w:lineRule="auto"/>
              <w:jc w:val="center"/>
              <w:rPr>
                <w:sz w:val="16"/>
                <w:szCs w:val="16"/>
                <w:lang w:eastAsia="en-US"/>
              </w:rPr>
            </w:pPr>
            <w:r w:rsidRPr="00AE408F">
              <w:rPr>
                <w:sz w:val="16"/>
                <w:szCs w:val="16"/>
                <w:lang w:eastAsia="en-US"/>
              </w:rPr>
              <w:t>N</w:t>
            </w:r>
          </w:p>
        </w:tc>
        <w:tc>
          <w:tcPr>
            <w:tcW w:w="1573" w:type="dxa"/>
          </w:tcPr>
          <w:p w:rsidR="00445EBC" w:rsidRPr="00AE408F" w:rsidRDefault="00445EBC" w:rsidP="00AE408F">
            <w:pPr>
              <w:spacing w:after="0" w:line="240" w:lineRule="auto"/>
              <w:rPr>
                <w:b/>
                <w:sz w:val="16"/>
                <w:szCs w:val="16"/>
                <w:lang w:eastAsia="en-US"/>
              </w:rPr>
            </w:pPr>
            <w:r w:rsidRPr="00AE408F">
              <w:rPr>
                <w:b/>
                <w:sz w:val="16"/>
                <w:szCs w:val="16"/>
                <w:lang w:eastAsia="en-US"/>
              </w:rPr>
              <w:t>Unplanned return to theatre</w:t>
            </w: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2135" w:type="dxa"/>
          </w:tcPr>
          <w:p w:rsidR="00445EBC" w:rsidRPr="00AE408F" w:rsidRDefault="00445EBC" w:rsidP="00AE408F">
            <w:pPr>
              <w:spacing w:after="0" w:line="240" w:lineRule="auto"/>
              <w:rPr>
                <w:sz w:val="16"/>
                <w:szCs w:val="16"/>
                <w:lang w:eastAsia="en-US"/>
              </w:rPr>
            </w:pPr>
          </w:p>
        </w:tc>
        <w:tc>
          <w:tcPr>
            <w:tcW w:w="1797" w:type="dxa"/>
          </w:tcPr>
          <w:p w:rsidR="00445EBC" w:rsidRPr="00AE408F" w:rsidRDefault="00445EBC" w:rsidP="00AE408F">
            <w:pPr>
              <w:spacing w:after="0" w:line="240" w:lineRule="auto"/>
              <w:rPr>
                <w:sz w:val="16"/>
                <w:szCs w:val="16"/>
                <w:lang w:eastAsia="en-US"/>
              </w:rPr>
            </w:pPr>
          </w:p>
        </w:tc>
      </w:tr>
    </w:tbl>
    <w:p w:rsidR="00445EBC" w:rsidRPr="00AE408F" w:rsidRDefault="00445EBC" w:rsidP="00AE408F">
      <w:pPr>
        <w:spacing w:after="0" w:line="240" w:lineRule="auto"/>
        <w:rPr>
          <w:b/>
          <w:lang w:eastAsia="en-US"/>
        </w:rPr>
      </w:pPr>
    </w:p>
    <w:p w:rsidR="00445EBC" w:rsidRPr="00AE408F" w:rsidRDefault="00445EBC" w:rsidP="00AE408F">
      <w:pPr>
        <w:spacing w:after="0" w:line="240" w:lineRule="auto"/>
        <w:rPr>
          <w:b/>
          <w:lang w:eastAsia="en-US"/>
        </w:rPr>
      </w:pPr>
    </w:p>
    <w:p w:rsidR="00445EBC" w:rsidRPr="00AE408F" w:rsidRDefault="00445EBC" w:rsidP="00AE408F">
      <w:pPr>
        <w:spacing w:after="0" w:line="240" w:lineRule="auto"/>
        <w:rPr>
          <w:b/>
          <w:lang w:eastAsia="en-US"/>
        </w:rPr>
      </w:pPr>
      <w:r w:rsidRPr="00AE408F">
        <w:rPr>
          <w:b/>
          <w:lang w:eastAsia="en-US"/>
        </w:rPr>
        <w:t>A</w:t>
      </w:r>
      <w:r w:rsidRPr="00AE408F">
        <w:rPr>
          <w:lang w:eastAsia="en-US"/>
        </w:rPr>
        <w:t xml:space="preserve">:  </w:t>
      </w:r>
      <w:r w:rsidRPr="00AE408F">
        <w:rPr>
          <w:b/>
          <w:lang w:eastAsia="en-US"/>
        </w:rPr>
        <w:t>Pancreatic fistula (ISGPF)</w:t>
      </w:r>
    </w:p>
    <w:p w:rsidR="00445EBC" w:rsidRPr="00AE408F" w:rsidRDefault="00445EBC" w:rsidP="00AE408F">
      <w:pPr>
        <w:autoSpaceDE w:val="0"/>
        <w:autoSpaceDN w:val="0"/>
        <w:adjustRightInd w:val="0"/>
        <w:spacing w:after="0" w:line="240" w:lineRule="auto"/>
        <w:rPr>
          <w:rFonts w:cs="BookAntiqua"/>
          <w:sz w:val="16"/>
          <w:szCs w:val="16"/>
          <w:lang w:eastAsia="en-US"/>
        </w:rPr>
      </w:pPr>
      <w:r w:rsidRPr="00AE408F">
        <w:rPr>
          <w:rFonts w:cs="BookAntiqua"/>
          <w:sz w:val="16"/>
          <w:szCs w:val="16"/>
          <w:lang w:eastAsia="en-US"/>
        </w:rPr>
        <w:t xml:space="preserve">ISGPF Definition: “Output </w:t>
      </w:r>
      <w:r w:rsidRPr="00AE408F">
        <w:rPr>
          <w:rFonts w:cs="BookAntiqua-Italic"/>
          <w:i/>
          <w:iCs/>
          <w:sz w:val="16"/>
          <w:szCs w:val="16"/>
          <w:lang w:eastAsia="en-US"/>
        </w:rPr>
        <w:t xml:space="preserve">via </w:t>
      </w:r>
      <w:r w:rsidRPr="00AE408F">
        <w:rPr>
          <w:rFonts w:cs="BookAntiqua"/>
          <w:sz w:val="16"/>
          <w:szCs w:val="16"/>
          <w:lang w:eastAsia="en-US"/>
        </w:rPr>
        <w:t>an operatively placed drain (or a subsequently placed percutaneous drain) of any measurable volume of drain fluid on or after postoperative d 3, with an amylase content greater than 3 times the upper normal serum value”</w:t>
      </w:r>
    </w:p>
    <w:p w:rsidR="00445EBC" w:rsidRPr="00AE408F" w:rsidRDefault="00445EBC" w:rsidP="00AE408F">
      <w:pPr>
        <w:autoSpaceDE w:val="0"/>
        <w:autoSpaceDN w:val="0"/>
        <w:adjustRightInd w:val="0"/>
        <w:spacing w:after="0" w:line="240" w:lineRule="auto"/>
        <w:rPr>
          <w:rFonts w:cs="BookAntiqua"/>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418"/>
        <w:gridCol w:w="3260"/>
        <w:gridCol w:w="3322"/>
      </w:tblGrid>
      <w:tr w:rsidR="00445EBC" w:rsidRPr="00A55924" w:rsidTr="0003482B">
        <w:tc>
          <w:tcPr>
            <w:tcW w:w="1242" w:type="dxa"/>
            <w:shd w:val="clear" w:color="auto" w:fill="DDD9C3"/>
          </w:tcPr>
          <w:p w:rsidR="00445EBC" w:rsidRPr="00AE408F" w:rsidRDefault="00445EBC" w:rsidP="00AE408F">
            <w:pPr>
              <w:autoSpaceDE w:val="0"/>
              <w:autoSpaceDN w:val="0"/>
              <w:adjustRightInd w:val="0"/>
              <w:spacing w:after="0" w:line="240" w:lineRule="auto"/>
              <w:rPr>
                <w:rFonts w:cs="BookAntiqua"/>
                <w:b/>
                <w:sz w:val="18"/>
                <w:szCs w:val="18"/>
                <w:lang w:eastAsia="en-US"/>
              </w:rPr>
            </w:pPr>
            <w:r w:rsidRPr="00AE408F">
              <w:rPr>
                <w:rFonts w:cs="BookAntiqua"/>
                <w:b/>
                <w:sz w:val="18"/>
                <w:szCs w:val="18"/>
                <w:lang w:eastAsia="en-US"/>
              </w:rPr>
              <w:t xml:space="preserve">Grade A </w:t>
            </w:r>
          </w:p>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“Transient</w:t>
            </w:r>
          </w:p>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fistula”</w:t>
            </w:r>
          </w:p>
          <w:p w:rsidR="00445EBC" w:rsidRPr="00AE408F" w:rsidRDefault="00445EBC" w:rsidP="00AE408F">
            <w:pPr>
              <w:spacing w:after="0" w:line="240" w:lineRule="auto"/>
              <w:rPr>
                <w:sz w:val="18"/>
                <w:szCs w:val="18"/>
                <w:lang w:eastAsia="en-US"/>
              </w:rPr>
            </w:pPr>
          </w:p>
        </w:tc>
        <w:tc>
          <w:tcPr>
            <w:tcW w:w="1418" w:type="dxa"/>
          </w:tcPr>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No clinical</w:t>
            </w:r>
          </w:p>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impact</w:t>
            </w:r>
          </w:p>
          <w:p w:rsidR="00445EBC" w:rsidRPr="00AE408F" w:rsidRDefault="00445EBC" w:rsidP="00AE408F">
            <w:pPr>
              <w:spacing w:after="0" w:line="240" w:lineRule="auto"/>
              <w:rPr>
                <w:sz w:val="18"/>
                <w:szCs w:val="18"/>
                <w:lang w:eastAsia="en-US"/>
              </w:rPr>
            </w:pPr>
          </w:p>
        </w:tc>
        <w:tc>
          <w:tcPr>
            <w:tcW w:w="3260" w:type="dxa"/>
          </w:tcPr>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No peri-pancreatic collections on CT scan; little/no change in management</w:t>
            </w:r>
          </w:p>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High drain amylase but nil else needed</w:t>
            </w:r>
          </w:p>
          <w:p w:rsidR="00445EBC" w:rsidRPr="00AE408F" w:rsidRDefault="00445EBC" w:rsidP="00AE408F">
            <w:pPr>
              <w:spacing w:after="0" w:line="240" w:lineRule="auto"/>
              <w:rPr>
                <w:sz w:val="18"/>
                <w:szCs w:val="18"/>
                <w:lang w:eastAsia="en-US"/>
              </w:rPr>
            </w:pPr>
          </w:p>
        </w:tc>
        <w:tc>
          <w:tcPr>
            <w:tcW w:w="3322" w:type="dxa"/>
          </w:tcPr>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Clinically well; no sepsis; no prolongation of hospital stay; slow removal of operatively placed drains</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rFonts w:cs="BookAntiqua"/>
                <w:b/>
                <w:sz w:val="18"/>
                <w:szCs w:val="18"/>
                <w:lang w:eastAsia="en-US"/>
              </w:rPr>
              <w:t>Grade B</w:t>
            </w:r>
          </w:p>
        </w:tc>
        <w:tc>
          <w:tcPr>
            <w:tcW w:w="1418" w:type="dxa"/>
          </w:tcPr>
          <w:p w:rsidR="00445EBC" w:rsidRPr="00AE408F" w:rsidRDefault="00445EBC" w:rsidP="00AE408F">
            <w:pPr>
              <w:spacing w:after="0" w:line="240" w:lineRule="auto"/>
              <w:rPr>
                <w:sz w:val="18"/>
                <w:szCs w:val="18"/>
                <w:lang w:eastAsia="en-US"/>
              </w:rPr>
            </w:pPr>
            <w:r w:rsidRPr="00AE408F">
              <w:rPr>
                <w:rFonts w:cs="BookAntiqua"/>
                <w:sz w:val="18"/>
                <w:szCs w:val="18"/>
                <w:lang w:eastAsia="en-US"/>
              </w:rPr>
              <w:t>Clinical impact</w:t>
            </w:r>
          </w:p>
        </w:tc>
        <w:tc>
          <w:tcPr>
            <w:tcW w:w="3260" w:type="dxa"/>
          </w:tcPr>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Peri-pancreatic drains in place or repositioned to drain collections; Change in management is required</w:t>
            </w:r>
          </w:p>
          <w:p w:rsidR="00445EBC" w:rsidRPr="00AE408F" w:rsidRDefault="00445EBC" w:rsidP="00AE408F">
            <w:pPr>
              <w:spacing w:after="0" w:line="240" w:lineRule="auto"/>
              <w:rPr>
                <w:sz w:val="18"/>
                <w:szCs w:val="18"/>
                <w:lang w:eastAsia="en-US"/>
              </w:rPr>
            </w:pPr>
          </w:p>
        </w:tc>
        <w:tc>
          <w:tcPr>
            <w:tcW w:w="3322" w:type="dxa"/>
          </w:tcPr>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Clinically fairly well; degree of infection requiring specific treatment; prolongation of hospital stay; patients often discharged with drains in situ and observed in outpatient setting</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rFonts w:cs="BookAntiqua"/>
                <w:b/>
                <w:sz w:val="18"/>
                <w:szCs w:val="18"/>
                <w:lang w:eastAsia="en-US"/>
              </w:rPr>
              <w:t>Grade C</w:t>
            </w:r>
          </w:p>
        </w:tc>
        <w:tc>
          <w:tcPr>
            <w:tcW w:w="1418" w:type="dxa"/>
          </w:tcPr>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Severe</w:t>
            </w:r>
          </w:p>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clinical impact</w:t>
            </w:r>
          </w:p>
          <w:p w:rsidR="00445EBC" w:rsidRPr="00AE408F" w:rsidRDefault="00445EBC" w:rsidP="00AE408F">
            <w:pPr>
              <w:spacing w:after="0" w:line="240" w:lineRule="auto"/>
              <w:rPr>
                <w:sz w:val="18"/>
                <w:szCs w:val="18"/>
                <w:lang w:eastAsia="en-US"/>
              </w:rPr>
            </w:pPr>
          </w:p>
        </w:tc>
        <w:tc>
          <w:tcPr>
            <w:tcW w:w="3260" w:type="dxa"/>
          </w:tcPr>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Worrisome peri-pancreatic collections that require percutaneous drains; major change in management usually in ICU setting; possible re-surgery to salvage a difficult situation</w:t>
            </w:r>
          </w:p>
          <w:p w:rsidR="00445EBC" w:rsidRPr="00AE408F" w:rsidRDefault="00445EBC" w:rsidP="00AE408F">
            <w:pPr>
              <w:autoSpaceDE w:val="0"/>
              <w:autoSpaceDN w:val="0"/>
              <w:adjustRightInd w:val="0"/>
              <w:spacing w:after="0" w:line="240" w:lineRule="auto"/>
              <w:rPr>
                <w:rFonts w:cs="BookAntiqua"/>
                <w:sz w:val="18"/>
                <w:szCs w:val="18"/>
                <w:lang w:eastAsia="en-US"/>
              </w:rPr>
            </w:pPr>
            <w:r w:rsidRPr="00AE408F">
              <w:rPr>
                <w:rFonts w:cs="BookAntiqua"/>
                <w:sz w:val="18"/>
                <w:szCs w:val="18"/>
                <w:lang w:eastAsia="en-US"/>
              </w:rPr>
              <w:t xml:space="preserve">(completion pancreatectomy </w:t>
            </w:r>
            <w:r w:rsidRPr="00AE408F">
              <w:rPr>
                <w:rFonts w:cs="BookAntiqua-Italic"/>
                <w:i/>
                <w:iCs/>
                <w:sz w:val="18"/>
                <w:szCs w:val="18"/>
                <w:lang w:eastAsia="en-US"/>
              </w:rPr>
              <w:t>etc</w:t>
            </w:r>
            <w:r w:rsidRPr="00AE408F">
              <w:rPr>
                <w:rFonts w:cs="BookAntiqua"/>
                <w:sz w:val="18"/>
                <w:szCs w:val="18"/>
                <w:lang w:eastAsia="en-US"/>
              </w:rPr>
              <w:t>)</w:t>
            </w:r>
          </w:p>
          <w:p w:rsidR="00445EBC" w:rsidRPr="00AE408F" w:rsidRDefault="00445EBC" w:rsidP="00AE408F">
            <w:pPr>
              <w:spacing w:after="0" w:line="240" w:lineRule="auto"/>
              <w:rPr>
                <w:sz w:val="18"/>
                <w:szCs w:val="18"/>
                <w:lang w:eastAsia="en-US"/>
              </w:rPr>
            </w:pPr>
          </w:p>
        </w:tc>
        <w:tc>
          <w:tcPr>
            <w:tcW w:w="3322" w:type="dxa"/>
          </w:tcPr>
          <w:p w:rsidR="00445EBC" w:rsidRPr="00AE408F" w:rsidRDefault="00445EBC" w:rsidP="00AE408F">
            <w:pPr>
              <w:autoSpaceDE w:val="0"/>
              <w:autoSpaceDN w:val="0"/>
              <w:adjustRightInd w:val="0"/>
              <w:spacing w:after="0" w:line="240" w:lineRule="auto"/>
              <w:rPr>
                <w:sz w:val="18"/>
                <w:szCs w:val="18"/>
                <w:lang w:eastAsia="en-US"/>
              </w:rPr>
            </w:pPr>
            <w:r w:rsidRPr="00AE408F">
              <w:rPr>
                <w:rFonts w:cs="BookAntiqua"/>
                <w:sz w:val="18"/>
                <w:szCs w:val="18"/>
                <w:lang w:eastAsia="en-US"/>
              </w:rPr>
              <w:t>Clinically unwell; associated sepsis requiring aggressive antibiotics, octreotide and other intensive care support; major prolongation of hospital stay; associated complications</w:t>
            </w:r>
          </w:p>
          <w:p w:rsidR="00445EBC" w:rsidRPr="00AE408F" w:rsidRDefault="00445EBC" w:rsidP="00AE408F">
            <w:pPr>
              <w:spacing w:after="0" w:line="240" w:lineRule="auto"/>
              <w:rPr>
                <w:sz w:val="18"/>
                <w:szCs w:val="18"/>
                <w:lang w:eastAsia="en-US"/>
              </w:rPr>
            </w:pPr>
          </w:p>
        </w:tc>
      </w:tr>
    </w:tbl>
    <w:p w:rsidR="00445EBC" w:rsidRPr="00AE408F" w:rsidRDefault="00445EBC" w:rsidP="00AE408F">
      <w:pPr>
        <w:spacing w:after="0" w:line="240" w:lineRule="auto"/>
        <w:ind w:left="720"/>
        <w:rPr>
          <w:lang w:eastAsia="en-US"/>
        </w:rPr>
      </w:pPr>
    </w:p>
    <w:p w:rsidR="00445EBC" w:rsidRPr="00AE408F" w:rsidRDefault="00445EBC" w:rsidP="00AE408F">
      <w:pPr>
        <w:spacing w:after="0" w:line="240" w:lineRule="auto"/>
        <w:rPr>
          <w:b/>
          <w:lang w:eastAsia="en-US"/>
        </w:rPr>
      </w:pPr>
      <w:r w:rsidRPr="00AE408F">
        <w:rPr>
          <w:b/>
          <w:lang w:eastAsia="en-US"/>
        </w:rPr>
        <w:t>B</w:t>
      </w:r>
      <w:r w:rsidRPr="00AE408F">
        <w:rPr>
          <w:lang w:eastAsia="en-US"/>
        </w:rPr>
        <w:t xml:space="preserve">:  </w:t>
      </w:r>
      <w:r w:rsidRPr="00AE408F">
        <w:rPr>
          <w:b/>
          <w:lang w:eastAsia="en-US"/>
        </w:rPr>
        <w:t>Delayed gastric emptying (ISGPF)</w:t>
      </w:r>
    </w:p>
    <w:p w:rsidR="00445EBC" w:rsidRPr="00AE408F" w:rsidRDefault="00445EBC" w:rsidP="00AE408F">
      <w:pPr>
        <w:spacing w:after="0" w:line="240" w:lineRule="auto"/>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678"/>
      </w:tblGrid>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A</w:t>
            </w:r>
          </w:p>
        </w:tc>
        <w:tc>
          <w:tcPr>
            <w:tcW w:w="4678" w:type="dxa"/>
          </w:tcPr>
          <w:p w:rsidR="00445EBC" w:rsidRPr="00AE408F" w:rsidRDefault="00445EBC" w:rsidP="00AE408F">
            <w:pPr>
              <w:autoSpaceDE w:val="0"/>
              <w:autoSpaceDN w:val="0"/>
              <w:adjustRightInd w:val="0"/>
              <w:spacing w:after="0" w:line="240" w:lineRule="auto"/>
              <w:rPr>
                <w:rFonts w:cs="AdvPSNCS-R"/>
                <w:sz w:val="18"/>
                <w:szCs w:val="18"/>
                <w:lang w:eastAsia="en-US"/>
              </w:rPr>
            </w:pPr>
            <w:r w:rsidRPr="00AE408F">
              <w:rPr>
                <w:rFonts w:cs="AdvPSNCS-R"/>
                <w:sz w:val="18"/>
                <w:szCs w:val="18"/>
                <w:lang w:eastAsia="en-US"/>
              </w:rPr>
              <w:t xml:space="preserve">Need for </w:t>
            </w:r>
            <w:smartTag w:uri="urn:schemas-microsoft-com:office:smarttags" w:element="stockticker">
              <w:r w:rsidRPr="00AE408F">
                <w:rPr>
                  <w:rFonts w:cs="AdvPSNCS-R"/>
                  <w:sz w:val="18"/>
                  <w:szCs w:val="18"/>
                  <w:lang w:eastAsia="en-US"/>
                </w:rPr>
                <w:t>NGT</w:t>
              </w:r>
            </w:smartTag>
            <w:r w:rsidRPr="00AE408F">
              <w:rPr>
                <w:rFonts w:cs="AdvPSNCS-R"/>
                <w:sz w:val="18"/>
                <w:szCs w:val="18"/>
                <w:lang w:eastAsia="en-US"/>
              </w:rPr>
              <w:t xml:space="preserve"> intubation for 4 d or </w:t>
            </w:r>
            <w:smartTag w:uri="urn:schemas-microsoft-com:office:smarttags" w:element="stockticker">
              <w:r w:rsidRPr="00AE408F">
                <w:rPr>
                  <w:rFonts w:cs="AdvPSNCS-R"/>
                  <w:sz w:val="18"/>
                  <w:szCs w:val="18"/>
                  <w:lang w:eastAsia="en-US"/>
                </w:rPr>
                <w:t>NGT</w:t>
              </w:r>
            </w:smartTag>
            <w:r w:rsidRPr="00AE408F">
              <w:rPr>
                <w:rFonts w:cs="AdvPSNCS-R"/>
                <w:sz w:val="18"/>
                <w:szCs w:val="18"/>
                <w:lang w:eastAsia="en-US"/>
              </w:rPr>
              <w:t xml:space="preserve"> reinsertion</w:t>
            </w:r>
          </w:p>
          <w:p w:rsidR="00445EBC" w:rsidRPr="00AE408F" w:rsidRDefault="00445EBC" w:rsidP="00AE408F">
            <w:pPr>
              <w:autoSpaceDE w:val="0"/>
              <w:autoSpaceDN w:val="0"/>
              <w:adjustRightInd w:val="0"/>
              <w:spacing w:after="0" w:line="240" w:lineRule="auto"/>
              <w:rPr>
                <w:rFonts w:cs="AdvPSNCS-R"/>
                <w:sz w:val="18"/>
                <w:szCs w:val="18"/>
                <w:lang w:eastAsia="en-US"/>
              </w:rPr>
            </w:pPr>
            <w:r w:rsidRPr="00AE408F">
              <w:rPr>
                <w:rFonts w:cs="AdvPSNCS-R"/>
                <w:sz w:val="18"/>
                <w:szCs w:val="18"/>
                <w:lang w:eastAsia="en-US"/>
              </w:rPr>
              <w:t>after postoperative day (POD) 3, or inability to tolerate a solid diet by POD 7.</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B</w:t>
            </w:r>
          </w:p>
        </w:tc>
        <w:tc>
          <w:tcPr>
            <w:tcW w:w="4678" w:type="dxa"/>
          </w:tcPr>
          <w:p w:rsidR="00445EBC" w:rsidRPr="00AE408F" w:rsidRDefault="00445EBC" w:rsidP="00AE408F">
            <w:pPr>
              <w:autoSpaceDE w:val="0"/>
              <w:autoSpaceDN w:val="0"/>
              <w:adjustRightInd w:val="0"/>
              <w:spacing w:after="0" w:line="240" w:lineRule="auto"/>
              <w:rPr>
                <w:rFonts w:cs="AdvPSNCS-R"/>
                <w:sz w:val="18"/>
                <w:szCs w:val="18"/>
                <w:lang w:eastAsia="en-US"/>
              </w:rPr>
            </w:pPr>
            <w:r w:rsidRPr="00AE408F">
              <w:rPr>
                <w:rFonts w:cs="AdvPSNCS-R"/>
                <w:sz w:val="18"/>
                <w:szCs w:val="18"/>
                <w:lang w:eastAsia="en-US"/>
              </w:rPr>
              <w:t xml:space="preserve">Need for </w:t>
            </w:r>
            <w:smartTag w:uri="urn:schemas-microsoft-com:office:smarttags" w:element="stockticker">
              <w:r w:rsidRPr="00AE408F">
                <w:rPr>
                  <w:rFonts w:cs="AdvPSNCS-R"/>
                  <w:sz w:val="18"/>
                  <w:szCs w:val="18"/>
                  <w:lang w:eastAsia="en-US"/>
                </w:rPr>
                <w:t>NGT</w:t>
              </w:r>
            </w:smartTag>
            <w:r w:rsidRPr="00AE408F">
              <w:rPr>
                <w:rFonts w:cs="AdvPSNCS-R"/>
                <w:sz w:val="18"/>
                <w:szCs w:val="18"/>
                <w:lang w:eastAsia="en-US"/>
              </w:rPr>
              <w:t xml:space="preserve"> intubation for 8 d or </w:t>
            </w:r>
            <w:smartTag w:uri="urn:schemas-microsoft-com:office:smarttags" w:element="stockticker">
              <w:r w:rsidRPr="00AE408F">
                <w:rPr>
                  <w:rFonts w:cs="AdvPSNCS-R"/>
                  <w:sz w:val="18"/>
                  <w:szCs w:val="18"/>
                  <w:lang w:eastAsia="en-US"/>
                </w:rPr>
                <w:t>NGT</w:t>
              </w:r>
            </w:smartTag>
            <w:r w:rsidRPr="00AE408F">
              <w:rPr>
                <w:rFonts w:cs="AdvPSNCS-R"/>
                <w:sz w:val="18"/>
                <w:szCs w:val="18"/>
                <w:lang w:eastAsia="en-US"/>
              </w:rPr>
              <w:t xml:space="preserve"> reinsertion</w:t>
            </w:r>
          </w:p>
          <w:p w:rsidR="00445EBC" w:rsidRPr="00AE408F" w:rsidRDefault="00445EBC" w:rsidP="00AE408F">
            <w:pPr>
              <w:autoSpaceDE w:val="0"/>
              <w:autoSpaceDN w:val="0"/>
              <w:adjustRightInd w:val="0"/>
              <w:spacing w:after="0" w:line="240" w:lineRule="auto"/>
              <w:rPr>
                <w:rFonts w:cs="AdvPSNCS-R"/>
                <w:sz w:val="18"/>
                <w:szCs w:val="18"/>
                <w:lang w:eastAsia="en-US"/>
              </w:rPr>
            </w:pPr>
            <w:r w:rsidRPr="00AE408F">
              <w:rPr>
                <w:rFonts w:cs="AdvPSNCS-R"/>
                <w:sz w:val="18"/>
                <w:szCs w:val="18"/>
                <w:lang w:eastAsia="en-US"/>
              </w:rPr>
              <w:t>after POD 7, or inability to tolerate a solid diet by POD 14.</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C</w:t>
            </w:r>
          </w:p>
        </w:tc>
        <w:tc>
          <w:tcPr>
            <w:tcW w:w="4678" w:type="dxa"/>
          </w:tcPr>
          <w:p w:rsidR="00445EBC" w:rsidRPr="00AE408F" w:rsidRDefault="00445EBC" w:rsidP="00AE408F">
            <w:pPr>
              <w:autoSpaceDE w:val="0"/>
              <w:autoSpaceDN w:val="0"/>
              <w:adjustRightInd w:val="0"/>
              <w:spacing w:after="0" w:line="240" w:lineRule="auto"/>
              <w:rPr>
                <w:rFonts w:cs="AdvPSNCS-R"/>
                <w:sz w:val="18"/>
                <w:szCs w:val="18"/>
                <w:lang w:eastAsia="en-US"/>
              </w:rPr>
            </w:pPr>
            <w:r w:rsidRPr="00AE408F">
              <w:rPr>
                <w:rFonts w:cs="AdvPSNCS-R"/>
                <w:sz w:val="18"/>
                <w:szCs w:val="18"/>
                <w:lang w:eastAsia="en-US"/>
              </w:rPr>
              <w:t xml:space="preserve">Need for </w:t>
            </w:r>
            <w:smartTag w:uri="urn:schemas-microsoft-com:office:smarttags" w:element="stockticker">
              <w:r w:rsidRPr="00AE408F">
                <w:rPr>
                  <w:rFonts w:cs="AdvPSNCS-R"/>
                  <w:sz w:val="18"/>
                  <w:szCs w:val="18"/>
                  <w:lang w:eastAsia="en-US"/>
                </w:rPr>
                <w:t>NGT</w:t>
              </w:r>
            </w:smartTag>
            <w:r w:rsidRPr="00AE408F">
              <w:rPr>
                <w:rFonts w:cs="AdvPSNCS-R"/>
                <w:sz w:val="18"/>
                <w:szCs w:val="18"/>
                <w:lang w:eastAsia="en-US"/>
              </w:rPr>
              <w:t xml:space="preserve"> intubation for 15 d or </w:t>
            </w:r>
            <w:smartTag w:uri="urn:schemas-microsoft-com:office:smarttags" w:element="stockticker">
              <w:r w:rsidRPr="00AE408F">
                <w:rPr>
                  <w:rFonts w:cs="AdvPSNCS-R"/>
                  <w:sz w:val="18"/>
                  <w:szCs w:val="18"/>
                  <w:lang w:eastAsia="en-US"/>
                </w:rPr>
                <w:t>NGT</w:t>
              </w:r>
            </w:smartTag>
            <w:r w:rsidRPr="00AE408F">
              <w:rPr>
                <w:rFonts w:cs="AdvPSNCS-R"/>
                <w:sz w:val="18"/>
                <w:szCs w:val="18"/>
                <w:lang w:eastAsia="en-US"/>
              </w:rPr>
              <w:t xml:space="preserve"> reinsertion</w:t>
            </w:r>
          </w:p>
          <w:p w:rsidR="00445EBC" w:rsidRPr="00AE408F" w:rsidRDefault="00445EBC" w:rsidP="00AE408F">
            <w:pPr>
              <w:spacing w:after="0" w:line="240" w:lineRule="auto"/>
              <w:rPr>
                <w:sz w:val="18"/>
                <w:szCs w:val="18"/>
                <w:lang w:eastAsia="en-US"/>
              </w:rPr>
            </w:pPr>
            <w:r w:rsidRPr="00AE408F">
              <w:rPr>
                <w:rFonts w:cs="AdvPSNCS-R"/>
                <w:sz w:val="18"/>
                <w:szCs w:val="18"/>
                <w:lang w:eastAsia="en-US"/>
              </w:rPr>
              <w:t>After POD 15</w:t>
            </w:r>
          </w:p>
          <w:p w:rsidR="00445EBC" w:rsidRPr="00AE408F" w:rsidRDefault="00445EBC" w:rsidP="00AE408F">
            <w:pPr>
              <w:spacing w:after="0" w:line="240" w:lineRule="auto"/>
              <w:rPr>
                <w:sz w:val="18"/>
                <w:szCs w:val="18"/>
                <w:lang w:eastAsia="en-US"/>
              </w:rPr>
            </w:pPr>
          </w:p>
        </w:tc>
      </w:tr>
    </w:tbl>
    <w:p w:rsidR="00445EBC" w:rsidRPr="00AE408F" w:rsidRDefault="00445EBC" w:rsidP="00AE408F">
      <w:pPr>
        <w:spacing w:after="0" w:line="240" w:lineRule="auto"/>
        <w:rPr>
          <w:b/>
          <w:lang w:eastAsia="en-US"/>
        </w:rPr>
      </w:pPr>
    </w:p>
    <w:p w:rsidR="00445EBC" w:rsidRPr="00AE408F" w:rsidRDefault="00445EBC" w:rsidP="00AE408F">
      <w:pPr>
        <w:spacing w:after="0" w:line="240" w:lineRule="auto"/>
        <w:rPr>
          <w:b/>
          <w:lang w:eastAsia="en-US"/>
        </w:rPr>
      </w:pPr>
      <w:r w:rsidRPr="00AE408F">
        <w:rPr>
          <w:b/>
          <w:lang w:eastAsia="en-US"/>
        </w:rPr>
        <w:t>C:  Post Pancreatectomy haemorrhage (ISGPF)</w:t>
      </w:r>
    </w:p>
    <w:p w:rsidR="00445EBC" w:rsidRPr="00AE408F" w:rsidRDefault="00445EBC" w:rsidP="00AE408F">
      <w:pPr>
        <w:spacing w:after="0" w:line="240" w:lineRule="auto"/>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268"/>
        <w:gridCol w:w="1701"/>
        <w:gridCol w:w="1843"/>
        <w:gridCol w:w="2188"/>
      </w:tblGrid>
      <w:tr w:rsidR="00445EBC" w:rsidRPr="00A55924" w:rsidTr="0003482B">
        <w:tc>
          <w:tcPr>
            <w:tcW w:w="1242" w:type="dxa"/>
          </w:tcPr>
          <w:p w:rsidR="00445EBC" w:rsidRPr="00AE408F" w:rsidRDefault="00445EBC" w:rsidP="00AE408F">
            <w:pPr>
              <w:spacing w:after="0" w:line="240" w:lineRule="auto"/>
              <w:rPr>
                <w:sz w:val="18"/>
                <w:szCs w:val="18"/>
                <w:lang w:eastAsia="en-US"/>
              </w:rPr>
            </w:pPr>
          </w:p>
        </w:tc>
        <w:tc>
          <w:tcPr>
            <w:tcW w:w="2268" w:type="dxa"/>
          </w:tcPr>
          <w:p w:rsidR="00445EBC" w:rsidRPr="00AE408F" w:rsidRDefault="00445EBC" w:rsidP="00AE408F">
            <w:pPr>
              <w:spacing w:after="0" w:line="240" w:lineRule="auto"/>
              <w:rPr>
                <w:b/>
                <w:sz w:val="18"/>
                <w:szCs w:val="18"/>
                <w:lang w:eastAsia="en-US"/>
              </w:rPr>
            </w:pPr>
            <w:r w:rsidRPr="00AE408F">
              <w:rPr>
                <w:b/>
                <w:sz w:val="18"/>
                <w:szCs w:val="18"/>
                <w:lang w:eastAsia="en-US"/>
              </w:rPr>
              <w:t>Onset, location, presentation and severity</w:t>
            </w:r>
          </w:p>
        </w:tc>
        <w:tc>
          <w:tcPr>
            <w:tcW w:w="1701" w:type="dxa"/>
          </w:tcPr>
          <w:p w:rsidR="00445EBC" w:rsidRPr="00AE408F" w:rsidRDefault="00445EBC" w:rsidP="00AE408F">
            <w:pPr>
              <w:spacing w:after="0" w:line="240" w:lineRule="auto"/>
              <w:rPr>
                <w:b/>
                <w:sz w:val="18"/>
                <w:szCs w:val="18"/>
                <w:lang w:eastAsia="en-US"/>
              </w:rPr>
            </w:pPr>
            <w:r w:rsidRPr="00AE408F">
              <w:rPr>
                <w:b/>
                <w:sz w:val="18"/>
                <w:szCs w:val="18"/>
                <w:lang w:eastAsia="en-US"/>
              </w:rPr>
              <w:t>Condition</w:t>
            </w:r>
          </w:p>
        </w:tc>
        <w:tc>
          <w:tcPr>
            <w:tcW w:w="1843" w:type="dxa"/>
          </w:tcPr>
          <w:p w:rsidR="00445EBC" w:rsidRPr="00AE408F" w:rsidRDefault="00445EBC" w:rsidP="00AE408F">
            <w:pPr>
              <w:spacing w:after="0" w:line="240" w:lineRule="auto"/>
              <w:rPr>
                <w:b/>
                <w:sz w:val="18"/>
                <w:szCs w:val="18"/>
                <w:lang w:eastAsia="en-US"/>
              </w:rPr>
            </w:pPr>
            <w:r w:rsidRPr="00AE408F">
              <w:rPr>
                <w:b/>
                <w:sz w:val="18"/>
                <w:szCs w:val="18"/>
                <w:lang w:eastAsia="en-US"/>
              </w:rPr>
              <w:t>Diagnosis</w:t>
            </w:r>
          </w:p>
        </w:tc>
        <w:tc>
          <w:tcPr>
            <w:tcW w:w="2188" w:type="dxa"/>
          </w:tcPr>
          <w:p w:rsidR="00445EBC" w:rsidRPr="00AE408F" w:rsidRDefault="00445EBC" w:rsidP="00AE408F">
            <w:pPr>
              <w:spacing w:after="0" w:line="240" w:lineRule="auto"/>
              <w:rPr>
                <w:b/>
                <w:sz w:val="18"/>
                <w:szCs w:val="18"/>
                <w:lang w:eastAsia="en-US"/>
              </w:rPr>
            </w:pPr>
            <w:r w:rsidRPr="00AE408F">
              <w:rPr>
                <w:b/>
                <w:sz w:val="18"/>
                <w:szCs w:val="18"/>
                <w:lang w:eastAsia="en-US"/>
              </w:rPr>
              <w:t>Treatment</w:t>
            </w: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A</w:t>
            </w:r>
          </w:p>
        </w:tc>
        <w:tc>
          <w:tcPr>
            <w:tcW w:w="2268" w:type="dxa"/>
          </w:tcPr>
          <w:p w:rsidR="00445EBC" w:rsidRPr="00AE408F" w:rsidRDefault="00445EBC" w:rsidP="00AE408F">
            <w:pPr>
              <w:spacing w:after="0" w:line="240" w:lineRule="auto"/>
              <w:rPr>
                <w:sz w:val="18"/>
                <w:szCs w:val="18"/>
                <w:lang w:eastAsia="en-US"/>
              </w:rPr>
            </w:pPr>
            <w:r w:rsidRPr="00AE408F">
              <w:rPr>
                <w:rFonts w:cs="Arial"/>
                <w:sz w:val="18"/>
                <w:szCs w:val="18"/>
              </w:rPr>
              <w:t>Early, intra or extraluminal mild</w:t>
            </w:r>
          </w:p>
        </w:tc>
        <w:tc>
          <w:tcPr>
            <w:tcW w:w="1701" w:type="dxa"/>
          </w:tcPr>
          <w:p w:rsidR="00445EBC" w:rsidRPr="00AE408F" w:rsidRDefault="00445EBC" w:rsidP="00AE408F">
            <w:pPr>
              <w:spacing w:after="0" w:line="240" w:lineRule="auto"/>
              <w:rPr>
                <w:sz w:val="18"/>
                <w:szCs w:val="18"/>
                <w:lang w:eastAsia="en-US"/>
              </w:rPr>
            </w:pPr>
            <w:r w:rsidRPr="00AE408F">
              <w:rPr>
                <w:rFonts w:cs="Arial"/>
                <w:sz w:val="18"/>
                <w:szCs w:val="18"/>
              </w:rPr>
              <w:t>Well</w:t>
            </w:r>
          </w:p>
        </w:tc>
        <w:tc>
          <w:tcPr>
            <w:tcW w:w="1843" w:type="dxa"/>
          </w:tcPr>
          <w:p w:rsidR="00445EBC" w:rsidRPr="00AE408F" w:rsidRDefault="00445EBC" w:rsidP="00AE408F">
            <w:pPr>
              <w:spacing w:after="0" w:line="240" w:lineRule="auto"/>
              <w:rPr>
                <w:sz w:val="18"/>
                <w:szCs w:val="18"/>
                <w:lang w:eastAsia="en-US"/>
              </w:rPr>
            </w:pPr>
            <w:r w:rsidRPr="00AE408F">
              <w:rPr>
                <w:rFonts w:cs="Arial"/>
                <w:sz w:val="18"/>
                <w:szCs w:val="18"/>
              </w:rPr>
              <w:t xml:space="preserve">Observation, blood count, </w:t>
            </w:r>
            <w:smartTag w:uri="urn:schemas-microsoft-com:office:smarttags" w:element="stockticker">
              <w:r w:rsidRPr="00AE408F">
                <w:rPr>
                  <w:rFonts w:cs="Arial"/>
                  <w:sz w:val="18"/>
                  <w:szCs w:val="18"/>
                </w:rPr>
                <w:t>USG</w:t>
              </w:r>
            </w:smartTag>
            <w:r w:rsidRPr="00AE408F">
              <w:rPr>
                <w:rFonts w:cs="Arial"/>
                <w:sz w:val="18"/>
                <w:szCs w:val="18"/>
              </w:rPr>
              <w:t xml:space="preserve"> and, if necessary CT</w:t>
            </w:r>
          </w:p>
        </w:tc>
        <w:tc>
          <w:tcPr>
            <w:tcW w:w="2188" w:type="dxa"/>
          </w:tcPr>
          <w:p w:rsidR="00445EBC" w:rsidRPr="00AE408F" w:rsidRDefault="00445EBC" w:rsidP="00AE408F">
            <w:pPr>
              <w:spacing w:after="0" w:line="240" w:lineRule="auto"/>
              <w:rPr>
                <w:sz w:val="18"/>
                <w:szCs w:val="18"/>
                <w:lang w:eastAsia="en-US"/>
              </w:rPr>
            </w:pPr>
            <w:r w:rsidRPr="00AE408F">
              <w:rPr>
                <w:rFonts w:cs="Arial"/>
                <w:sz w:val="18"/>
                <w:szCs w:val="18"/>
              </w:rPr>
              <w:t>No</w:t>
            </w: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B</w:t>
            </w:r>
          </w:p>
        </w:tc>
        <w:tc>
          <w:tcPr>
            <w:tcW w:w="2268" w:type="dxa"/>
          </w:tcPr>
          <w:p w:rsidR="00445EBC" w:rsidRPr="00AE408F" w:rsidRDefault="00445EBC" w:rsidP="00AE408F">
            <w:pPr>
              <w:spacing w:after="0" w:line="240" w:lineRule="auto"/>
              <w:rPr>
                <w:rFonts w:cs="Arial"/>
                <w:sz w:val="18"/>
                <w:szCs w:val="18"/>
              </w:rPr>
            </w:pPr>
            <w:r w:rsidRPr="00AE408F">
              <w:rPr>
                <w:rFonts w:cs="Arial"/>
                <w:sz w:val="18"/>
                <w:szCs w:val="18"/>
              </w:rPr>
              <w:t>Early, intra or extraluminal severe</w:t>
            </w:r>
          </w:p>
          <w:p w:rsidR="00445EBC" w:rsidRPr="00AE408F" w:rsidRDefault="00445EBC" w:rsidP="00AE408F">
            <w:pPr>
              <w:spacing w:after="0" w:line="240" w:lineRule="auto"/>
              <w:rPr>
                <w:rFonts w:cs="Arial"/>
                <w:sz w:val="18"/>
                <w:szCs w:val="18"/>
              </w:rPr>
            </w:pPr>
            <w:r w:rsidRPr="00AE408F">
              <w:rPr>
                <w:rFonts w:cs="Arial"/>
                <w:sz w:val="18"/>
                <w:szCs w:val="18"/>
              </w:rPr>
              <w:t>OR</w:t>
            </w:r>
          </w:p>
          <w:p w:rsidR="00445EBC" w:rsidRPr="00AE408F" w:rsidRDefault="00445EBC" w:rsidP="00AE408F">
            <w:pPr>
              <w:spacing w:after="0" w:line="240" w:lineRule="auto"/>
              <w:rPr>
                <w:sz w:val="18"/>
                <w:szCs w:val="18"/>
                <w:lang w:eastAsia="en-US"/>
              </w:rPr>
            </w:pPr>
            <w:r w:rsidRPr="00AE408F">
              <w:rPr>
                <w:rFonts w:cs="Arial"/>
                <w:sz w:val="18"/>
                <w:szCs w:val="18"/>
              </w:rPr>
              <w:t>Late, intra or extraluminal, mild</w:t>
            </w:r>
          </w:p>
        </w:tc>
        <w:tc>
          <w:tcPr>
            <w:tcW w:w="1701" w:type="dxa"/>
          </w:tcPr>
          <w:p w:rsidR="00445EBC" w:rsidRPr="00AE408F" w:rsidRDefault="00445EBC" w:rsidP="00AE408F">
            <w:pPr>
              <w:spacing w:after="0" w:line="240" w:lineRule="auto"/>
              <w:rPr>
                <w:sz w:val="18"/>
                <w:szCs w:val="18"/>
                <w:lang w:eastAsia="en-US"/>
              </w:rPr>
            </w:pPr>
            <w:r w:rsidRPr="00AE408F">
              <w:rPr>
                <w:rFonts w:cs="Arial"/>
                <w:sz w:val="18"/>
                <w:szCs w:val="18"/>
              </w:rPr>
              <w:t>Often well/intermediate Very rarely life-threatening</w:t>
            </w:r>
          </w:p>
        </w:tc>
        <w:tc>
          <w:tcPr>
            <w:tcW w:w="1843" w:type="dxa"/>
          </w:tcPr>
          <w:p w:rsidR="00445EBC" w:rsidRPr="00AE408F" w:rsidRDefault="00445EBC" w:rsidP="00AE408F">
            <w:pPr>
              <w:spacing w:after="0" w:line="240" w:lineRule="auto"/>
              <w:rPr>
                <w:sz w:val="18"/>
                <w:szCs w:val="18"/>
                <w:lang w:eastAsia="en-US"/>
              </w:rPr>
            </w:pPr>
            <w:r w:rsidRPr="00AE408F">
              <w:rPr>
                <w:rFonts w:cs="Arial"/>
                <w:sz w:val="18"/>
                <w:szCs w:val="18"/>
              </w:rPr>
              <w:t xml:space="preserve">Observation, blood count, </w:t>
            </w:r>
            <w:smartTag w:uri="urn:schemas-microsoft-com:office:smarttags" w:element="stockticker">
              <w:r w:rsidRPr="00AE408F">
                <w:rPr>
                  <w:rFonts w:cs="Arial"/>
                  <w:sz w:val="18"/>
                  <w:szCs w:val="18"/>
                </w:rPr>
                <w:t>USG</w:t>
              </w:r>
            </w:smartTag>
            <w:r w:rsidRPr="00AE408F">
              <w:rPr>
                <w:rFonts w:cs="Arial"/>
                <w:sz w:val="18"/>
                <w:szCs w:val="18"/>
              </w:rPr>
              <w:t>, angiography, CT endoscopy</w:t>
            </w:r>
          </w:p>
        </w:tc>
        <w:tc>
          <w:tcPr>
            <w:tcW w:w="2188" w:type="dxa"/>
          </w:tcPr>
          <w:p w:rsidR="00445EBC" w:rsidRPr="00AE408F" w:rsidRDefault="00445EBC" w:rsidP="00AE408F">
            <w:pPr>
              <w:spacing w:after="0" w:line="240" w:lineRule="auto"/>
              <w:rPr>
                <w:sz w:val="18"/>
                <w:szCs w:val="18"/>
                <w:lang w:eastAsia="en-US"/>
              </w:rPr>
            </w:pPr>
            <w:r w:rsidRPr="00AE408F">
              <w:rPr>
                <w:rFonts w:cs="Arial"/>
                <w:sz w:val="18"/>
                <w:szCs w:val="18"/>
              </w:rPr>
              <w:t>Transfusion of fluid/blood, ICU, therapeutic embolisation relaparotomy for early PPH</w:t>
            </w: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C</w:t>
            </w:r>
          </w:p>
        </w:tc>
        <w:tc>
          <w:tcPr>
            <w:tcW w:w="2268" w:type="dxa"/>
          </w:tcPr>
          <w:p w:rsidR="00445EBC" w:rsidRPr="00AE408F" w:rsidRDefault="00445EBC" w:rsidP="00AE408F">
            <w:pPr>
              <w:spacing w:after="0" w:line="240" w:lineRule="auto"/>
              <w:rPr>
                <w:sz w:val="18"/>
                <w:szCs w:val="18"/>
                <w:lang w:eastAsia="en-US"/>
              </w:rPr>
            </w:pPr>
            <w:r w:rsidRPr="00AE408F">
              <w:rPr>
                <w:rFonts w:cs="Arial"/>
                <w:sz w:val="18"/>
                <w:szCs w:val="18"/>
              </w:rPr>
              <w:t>Late intra or extraluminal, severe</w:t>
            </w:r>
          </w:p>
        </w:tc>
        <w:tc>
          <w:tcPr>
            <w:tcW w:w="1701" w:type="dxa"/>
          </w:tcPr>
          <w:p w:rsidR="00445EBC" w:rsidRPr="00AE408F" w:rsidRDefault="00445EBC" w:rsidP="00AE408F">
            <w:pPr>
              <w:spacing w:after="0" w:line="240" w:lineRule="auto"/>
              <w:rPr>
                <w:sz w:val="18"/>
                <w:szCs w:val="18"/>
                <w:lang w:eastAsia="en-US"/>
              </w:rPr>
            </w:pPr>
            <w:r w:rsidRPr="00AE408F">
              <w:rPr>
                <w:rFonts w:cs="Arial"/>
                <w:sz w:val="18"/>
                <w:szCs w:val="18"/>
              </w:rPr>
              <w:t>Severely impaired life-threatening</w:t>
            </w:r>
          </w:p>
        </w:tc>
        <w:tc>
          <w:tcPr>
            <w:tcW w:w="1843" w:type="dxa"/>
          </w:tcPr>
          <w:p w:rsidR="00445EBC" w:rsidRPr="00AE408F" w:rsidRDefault="00445EBC" w:rsidP="00AE408F">
            <w:pPr>
              <w:spacing w:after="0" w:line="240" w:lineRule="auto"/>
              <w:rPr>
                <w:sz w:val="18"/>
                <w:szCs w:val="18"/>
                <w:lang w:eastAsia="en-US"/>
              </w:rPr>
            </w:pPr>
            <w:r w:rsidRPr="00AE408F">
              <w:rPr>
                <w:rFonts w:cs="Arial"/>
                <w:sz w:val="18"/>
                <w:szCs w:val="18"/>
              </w:rPr>
              <w:t>Angiography, CT endoscopy</w:t>
            </w:r>
          </w:p>
        </w:tc>
        <w:tc>
          <w:tcPr>
            <w:tcW w:w="2188" w:type="dxa"/>
          </w:tcPr>
          <w:p w:rsidR="00445EBC" w:rsidRPr="00AE408F" w:rsidRDefault="00445EBC" w:rsidP="00AE408F">
            <w:pPr>
              <w:spacing w:after="0" w:line="240" w:lineRule="auto"/>
              <w:rPr>
                <w:sz w:val="18"/>
                <w:szCs w:val="18"/>
                <w:lang w:eastAsia="en-US"/>
              </w:rPr>
            </w:pPr>
            <w:r w:rsidRPr="00AE408F">
              <w:rPr>
                <w:rFonts w:cs="Arial"/>
                <w:sz w:val="18"/>
                <w:szCs w:val="18"/>
              </w:rPr>
              <w:t>Localisation of bleeding, angiography and embolisation, (endoscopy) or relaparotomy, ICU</w:t>
            </w:r>
          </w:p>
        </w:tc>
      </w:tr>
    </w:tbl>
    <w:p w:rsidR="00445EBC" w:rsidRPr="00AE408F" w:rsidRDefault="00445EBC" w:rsidP="00AE408F">
      <w:pPr>
        <w:spacing w:after="0" w:line="240" w:lineRule="auto"/>
        <w:rPr>
          <w:lang w:eastAsia="en-US"/>
        </w:rPr>
      </w:pPr>
    </w:p>
    <w:p w:rsidR="00445EBC" w:rsidRPr="00AE408F" w:rsidRDefault="00445EBC" w:rsidP="00AE408F">
      <w:pPr>
        <w:spacing w:after="0" w:line="240" w:lineRule="auto"/>
        <w:rPr>
          <w:lang w:eastAsia="en-US"/>
        </w:rPr>
      </w:pPr>
    </w:p>
    <w:p w:rsidR="00445EBC" w:rsidRPr="00AE408F" w:rsidRDefault="00445EBC" w:rsidP="00AE408F">
      <w:pPr>
        <w:spacing w:after="0" w:line="240" w:lineRule="auto"/>
        <w:rPr>
          <w:lang w:eastAsia="en-US"/>
        </w:rPr>
      </w:pPr>
    </w:p>
    <w:p w:rsidR="00445EBC" w:rsidRPr="00AE408F" w:rsidRDefault="00445EBC" w:rsidP="00AE408F">
      <w:pPr>
        <w:spacing w:after="0" w:line="240" w:lineRule="auto"/>
        <w:rPr>
          <w:lang w:eastAsia="en-US"/>
        </w:rPr>
      </w:pPr>
    </w:p>
    <w:p w:rsidR="00445EBC" w:rsidRPr="00AE408F" w:rsidRDefault="00445EBC" w:rsidP="00AE408F">
      <w:pPr>
        <w:spacing w:after="0" w:line="240" w:lineRule="auto"/>
        <w:rPr>
          <w:lang w:eastAsia="en-US"/>
        </w:rPr>
      </w:pPr>
    </w:p>
    <w:p w:rsidR="00445EBC" w:rsidRPr="00AE408F" w:rsidRDefault="00445EBC" w:rsidP="00AE408F">
      <w:pPr>
        <w:spacing w:after="0" w:line="240" w:lineRule="auto"/>
        <w:rPr>
          <w:lang w:eastAsia="en-US"/>
        </w:rPr>
      </w:pPr>
    </w:p>
    <w:p w:rsidR="00445EBC" w:rsidRPr="00AE408F" w:rsidRDefault="00445EBC" w:rsidP="00AE408F">
      <w:pPr>
        <w:spacing w:after="0" w:line="240" w:lineRule="auto"/>
        <w:rPr>
          <w:lang w:eastAsia="en-US"/>
        </w:rPr>
      </w:pPr>
    </w:p>
    <w:p w:rsidR="00445EBC" w:rsidRPr="00AE408F" w:rsidRDefault="00445EBC" w:rsidP="00AE408F">
      <w:pPr>
        <w:spacing w:after="0" w:line="240" w:lineRule="auto"/>
        <w:rPr>
          <w:b/>
          <w:lang w:eastAsia="en-US"/>
        </w:rPr>
      </w:pPr>
      <w:r w:rsidRPr="00AE408F">
        <w:rPr>
          <w:b/>
          <w:lang w:eastAsia="en-US"/>
        </w:rPr>
        <w:t>D</w:t>
      </w:r>
      <w:r w:rsidRPr="00AE408F">
        <w:rPr>
          <w:lang w:eastAsia="en-US"/>
        </w:rPr>
        <w:t xml:space="preserve">: </w:t>
      </w:r>
      <w:r w:rsidRPr="00AE408F">
        <w:rPr>
          <w:b/>
          <w:lang w:eastAsia="en-US"/>
        </w:rPr>
        <w:t>Bile Leak (ISGLS)</w:t>
      </w:r>
    </w:p>
    <w:p w:rsidR="00445EBC" w:rsidRPr="00AE408F" w:rsidRDefault="00445EBC" w:rsidP="00AE408F">
      <w:pPr>
        <w:spacing w:after="0" w:line="240" w:lineRule="auto"/>
        <w:rPr>
          <w:i/>
          <w:sz w:val="16"/>
          <w:szCs w:val="16"/>
          <w:lang w:eastAsia="en-US"/>
        </w:rPr>
      </w:pPr>
      <w:r w:rsidRPr="00AE408F">
        <w:rPr>
          <w:sz w:val="16"/>
          <w:szCs w:val="16"/>
          <w:lang w:eastAsia="en-US"/>
        </w:rPr>
        <w:t xml:space="preserve">ISGLS definition: </w:t>
      </w:r>
      <w:r w:rsidRPr="00AE408F">
        <w:rPr>
          <w:i/>
          <w:sz w:val="16"/>
          <w:szCs w:val="16"/>
          <w:lang w:eastAsia="en-US"/>
        </w:rPr>
        <w:t>‘Bile leakage is defined as fluid with an increased bilirubin concentration in the abdominal drain or in the intra abdominal fluid on or after post operative day 3, or as the need for radiologic intervention because of biliary collections or relaparotomy resulting from bile peritonitis.  Increased bilirubin concentration in the drain is defined as at least 3 times greater than the serum bilirubin concentration measured at the same time.’</w:t>
      </w:r>
    </w:p>
    <w:p w:rsidR="00445EBC" w:rsidRPr="00AE408F" w:rsidRDefault="00445EBC" w:rsidP="00AE408F">
      <w:pPr>
        <w:spacing w:after="0" w:line="240" w:lineRule="auto"/>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938"/>
      </w:tblGrid>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A</w:t>
            </w:r>
          </w:p>
        </w:tc>
        <w:tc>
          <w:tcPr>
            <w:tcW w:w="7938" w:type="dxa"/>
          </w:tcPr>
          <w:p w:rsidR="00445EBC" w:rsidRPr="00AE408F" w:rsidRDefault="00445EBC" w:rsidP="00AE408F">
            <w:pPr>
              <w:spacing w:after="0" w:line="240" w:lineRule="auto"/>
              <w:rPr>
                <w:sz w:val="18"/>
                <w:szCs w:val="18"/>
                <w:lang w:eastAsia="en-US"/>
              </w:rPr>
            </w:pPr>
            <w:r w:rsidRPr="00AE408F">
              <w:rPr>
                <w:sz w:val="18"/>
                <w:szCs w:val="18"/>
                <w:lang w:eastAsia="en-US"/>
              </w:rPr>
              <w:t>Bile leakage requiring no or little change in patients clinical management</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B</w:t>
            </w:r>
          </w:p>
        </w:tc>
        <w:tc>
          <w:tcPr>
            <w:tcW w:w="7938" w:type="dxa"/>
          </w:tcPr>
          <w:p w:rsidR="00445EBC" w:rsidRPr="00AE408F" w:rsidRDefault="00445EBC" w:rsidP="00AE408F">
            <w:pPr>
              <w:spacing w:after="0" w:line="240" w:lineRule="auto"/>
              <w:rPr>
                <w:sz w:val="18"/>
                <w:szCs w:val="18"/>
                <w:lang w:eastAsia="en-US"/>
              </w:rPr>
            </w:pPr>
            <w:r w:rsidRPr="00AE408F">
              <w:rPr>
                <w:sz w:val="18"/>
                <w:szCs w:val="18"/>
                <w:lang w:eastAsia="en-US"/>
              </w:rPr>
              <w:t>Bile leakage requiring a change in patients clinical management (eg additional diagnostic or interventional procedures) but manageable without re laparotomy or grade A lasting &gt; 1 week</w:t>
            </w: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C</w:t>
            </w:r>
          </w:p>
        </w:tc>
        <w:tc>
          <w:tcPr>
            <w:tcW w:w="7938" w:type="dxa"/>
          </w:tcPr>
          <w:p w:rsidR="00445EBC" w:rsidRPr="00AE408F" w:rsidRDefault="00445EBC" w:rsidP="00AE408F">
            <w:pPr>
              <w:autoSpaceDE w:val="0"/>
              <w:autoSpaceDN w:val="0"/>
              <w:adjustRightInd w:val="0"/>
              <w:spacing w:after="0" w:line="240" w:lineRule="auto"/>
              <w:rPr>
                <w:sz w:val="18"/>
                <w:szCs w:val="18"/>
                <w:lang w:eastAsia="en-US"/>
              </w:rPr>
            </w:pPr>
            <w:r w:rsidRPr="00AE408F">
              <w:rPr>
                <w:sz w:val="18"/>
                <w:szCs w:val="18"/>
                <w:lang w:eastAsia="en-US"/>
              </w:rPr>
              <w:t>Bile leakage requiring re laparotomy</w:t>
            </w:r>
          </w:p>
          <w:p w:rsidR="00445EBC" w:rsidRPr="00AE408F" w:rsidRDefault="00445EBC" w:rsidP="00AE408F">
            <w:pPr>
              <w:autoSpaceDE w:val="0"/>
              <w:autoSpaceDN w:val="0"/>
              <w:adjustRightInd w:val="0"/>
              <w:spacing w:after="0" w:line="240" w:lineRule="auto"/>
              <w:rPr>
                <w:sz w:val="18"/>
                <w:szCs w:val="18"/>
                <w:lang w:eastAsia="en-US"/>
              </w:rPr>
            </w:pPr>
          </w:p>
        </w:tc>
      </w:tr>
    </w:tbl>
    <w:p w:rsidR="00445EBC" w:rsidRPr="00AE408F" w:rsidRDefault="00445EBC" w:rsidP="00AE408F">
      <w:pPr>
        <w:spacing w:after="0" w:line="240" w:lineRule="auto"/>
        <w:rPr>
          <w:b/>
          <w:lang w:eastAsia="en-US"/>
        </w:rPr>
      </w:pPr>
    </w:p>
    <w:p w:rsidR="00445EBC" w:rsidRPr="00AE408F" w:rsidRDefault="00445EBC" w:rsidP="00AE408F">
      <w:pPr>
        <w:spacing w:after="0" w:line="240" w:lineRule="auto"/>
        <w:rPr>
          <w:b/>
          <w:lang w:eastAsia="en-US"/>
        </w:rPr>
      </w:pPr>
      <w:r w:rsidRPr="00AE408F">
        <w:rPr>
          <w:b/>
          <w:lang w:eastAsia="en-US"/>
        </w:rPr>
        <w:t>E</w:t>
      </w:r>
      <w:r w:rsidRPr="00AE408F">
        <w:rPr>
          <w:lang w:eastAsia="en-US"/>
        </w:rPr>
        <w:t xml:space="preserve">: </w:t>
      </w:r>
      <w:r w:rsidRPr="00AE408F">
        <w:rPr>
          <w:b/>
          <w:lang w:eastAsia="en-US"/>
        </w:rPr>
        <w:t>Liver failure (ISGLS)</w:t>
      </w:r>
    </w:p>
    <w:p w:rsidR="00445EBC" w:rsidRPr="00AE408F" w:rsidRDefault="00445EBC" w:rsidP="00AE408F">
      <w:pPr>
        <w:autoSpaceDE w:val="0"/>
        <w:autoSpaceDN w:val="0"/>
        <w:adjustRightInd w:val="0"/>
        <w:spacing w:after="0" w:line="240" w:lineRule="auto"/>
        <w:jc w:val="both"/>
        <w:rPr>
          <w:rFonts w:cs="Calibri"/>
          <w:i/>
          <w:sz w:val="16"/>
          <w:szCs w:val="16"/>
          <w:lang w:eastAsia="en-US"/>
        </w:rPr>
      </w:pPr>
      <w:r w:rsidRPr="00AE408F">
        <w:rPr>
          <w:rFonts w:cs="Calibri"/>
          <w:sz w:val="16"/>
          <w:szCs w:val="16"/>
          <w:lang w:eastAsia="en-US"/>
        </w:rPr>
        <w:t xml:space="preserve">ISGLS definition: </w:t>
      </w:r>
      <w:r w:rsidRPr="00AE408F">
        <w:rPr>
          <w:rFonts w:cs="Calibri"/>
          <w:i/>
          <w:sz w:val="16"/>
          <w:szCs w:val="16"/>
          <w:lang w:eastAsia="en-US"/>
        </w:rPr>
        <w:t>‘A postoperatively acquired deterioration in the ability of the liver (in patients with normal and abnormal liver function) to maintain its synthetic, excretory, and detoxifying functions, characterized by an increased INR (or need of clotting factors to maintain normal INR) and hyperbilirubinemia (according to the normal cut-off levels defined by the local laboratory) on or after postoperative day 5. If INR or serum bilirubin concentration is increased preoperatively, PHLF is defined by an increasing INR (decreasing prothrombin time) and increasing serum bilirubin concentration on or after postoperative day 5 (compared with the values of the previous day). Other obvious causes for the observed biochemical and clinical alterations such as biliary obstruction should be ruled out.’</w:t>
      </w:r>
    </w:p>
    <w:p w:rsidR="00445EBC" w:rsidRPr="00AE408F" w:rsidRDefault="00445EBC" w:rsidP="00AE408F">
      <w:pPr>
        <w:autoSpaceDE w:val="0"/>
        <w:autoSpaceDN w:val="0"/>
        <w:adjustRightInd w:val="0"/>
        <w:spacing w:after="0" w:line="240" w:lineRule="auto"/>
        <w:jc w:val="both"/>
        <w:rPr>
          <w:rFonts w:cs="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938"/>
      </w:tblGrid>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A</w:t>
            </w:r>
          </w:p>
        </w:tc>
        <w:tc>
          <w:tcPr>
            <w:tcW w:w="7938" w:type="dxa"/>
          </w:tcPr>
          <w:p w:rsidR="00445EBC" w:rsidRPr="00AE408F" w:rsidRDefault="00445EBC" w:rsidP="00AE408F">
            <w:pPr>
              <w:spacing w:after="0" w:line="240" w:lineRule="auto"/>
              <w:rPr>
                <w:sz w:val="18"/>
                <w:szCs w:val="18"/>
                <w:lang w:eastAsia="en-US"/>
              </w:rPr>
            </w:pPr>
            <w:r w:rsidRPr="00AE408F">
              <w:rPr>
                <w:sz w:val="18"/>
                <w:szCs w:val="18"/>
                <w:lang w:eastAsia="en-US"/>
              </w:rPr>
              <w:t>PHLF resulting in abnormal laboratory parameters but requiring no change in the clinical management of the patient</w:t>
            </w: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B</w:t>
            </w:r>
          </w:p>
        </w:tc>
        <w:tc>
          <w:tcPr>
            <w:tcW w:w="7938" w:type="dxa"/>
          </w:tcPr>
          <w:p w:rsidR="00445EBC" w:rsidRPr="00AE408F" w:rsidRDefault="00445EBC" w:rsidP="00AE408F">
            <w:pPr>
              <w:spacing w:after="0" w:line="240" w:lineRule="auto"/>
              <w:rPr>
                <w:sz w:val="18"/>
                <w:szCs w:val="18"/>
                <w:lang w:eastAsia="en-US"/>
              </w:rPr>
            </w:pPr>
            <w:r w:rsidRPr="00AE408F">
              <w:rPr>
                <w:sz w:val="18"/>
                <w:szCs w:val="18"/>
                <w:lang w:eastAsia="en-US"/>
              </w:rPr>
              <w:t>PHLF resulting in a deviation from the regular clinical management but manageable without invasive treatment</w:t>
            </w: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C</w:t>
            </w:r>
          </w:p>
        </w:tc>
        <w:tc>
          <w:tcPr>
            <w:tcW w:w="7938" w:type="dxa"/>
          </w:tcPr>
          <w:p w:rsidR="00445EBC" w:rsidRPr="00AE408F" w:rsidRDefault="00445EBC" w:rsidP="00AE408F">
            <w:pPr>
              <w:autoSpaceDE w:val="0"/>
              <w:autoSpaceDN w:val="0"/>
              <w:adjustRightInd w:val="0"/>
              <w:spacing w:after="0" w:line="240" w:lineRule="auto"/>
              <w:rPr>
                <w:sz w:val="18"/>
                <w:szCs w:val="18"/>
                <w:lang w:eastAsia="en-US"/>
              </w:rPr>
            </w:pPr>
            <w:r w:rsidRPr="00AE408F">
              <w:rPr>
                <w:sz w:val="18"/>
                <w:szCs w:val="18"/>
                <w:lang w:eastAsia="en-US"/>
              </w:rPr>
              <w:t>PHLF resulting in a deviation from the regular clinical management and requiring invasive treatment</w:t>
            </w:r>
          </w:p>
          <w:p w:rsidR="00445EBC" w:rsidRPr="00AE408F" w:rsidRDefault="00445EBC" w:rsidP="00AE408F">
            <w:pPr>
              <w:autoSpaceDE w:val="0"/>
              <w:autoSpaceDN w:val="0"/>
              <w:adjustRightInd w:val="0"/>
              <w:spacing w:after="0" w:line="240" w:lineRule="auto"/>
              <w:rPr>
                <w:sz w:val="18"/>
                <w:szCs w:val="18"/>
                <w:lang w:eastAsia="en-US"/>
              </w:rPr>
            </w:pPr>
          </w:p>
        </w:tc>
      </w:tr>
    </w:tbl>
    <w:p w:rsidR="00445EBC" w:rsidRPr="00AE408F" w:rsidRDefault="00445EBC" w:rsidP="00AE408F">
      <w:pPr>
        <w:spacing w:after="0" w:line="240" w:lineRule="auto"/>
        <w:rPr>
          <w:b/>
          <w:sz w:val="18"/>
          <w:szCs w:val="18"/>
          <w:lang w:eastAsia="en-US"/>
        </w:rPr>
      </w:pPr>
    </w:p>
    <w:p w:rsidR="00445EBC" w:rsidRPr="00AE408F" w:rsidRDefault="00445EBC" w:rsidP="00AE408F">
      <w:pPr>
        <w:spacing w:after="0" w:line="240" w:lineRule="auto"/>
        <w:rPr>
          <w:lang w:eastAsia="en-US"/>
        </w:rPr>
      </w:pPr>
      <w:r w:rsidRPr="00AE408F">
        <w:rPr>
          <w:b/>
          <w:lang w:eastAsia="en-US"/>
        </w:rPr>
        <w:t>F: Post hepatectomy haemorrhage (ISGLS)</w:t>
      </w:r>
    </w:p>
    <w:p w:rsidR="00445EBC" w:rsidRPr="00AE408F" w:rsidRDefault="00445EBC" w:rsidP="00AE408F">
      <w:pPr>
        <w:autoSpaceDE w:val="0"/>
        <w:autoSpaceDN w:val="0"/>
        <w:adjustRightInd w:val="0"/>
        <w:spacing w:after="0" w:line="240" w:lineRule="auto"/>
        <w:jc w:val="both"/>
        <w:rPr>
          <w:rFonts w:cs="Calibri"/>
          <w:i/>
          <w:sz w:val="16"/>
          <w:szCs w:val="16"/>
          <w:lang w:eastAsia="en-US"/>
        </w:rPr>
      </w:pPr>
      <w:r w:rsidRPr="00AE408F">
        <w:rPr>
          <w:rFonts w:cs="Calibri"/>
          <w:sz w:val="16"/>
          <w:szCs w:val="16"/>
          <w:lang w:eastAsia="en-US"/>
        </w:rPr>
        <w:t xml:space="preserve">ISGLS definition: </w:t>
      </w:r>
      <w:r w:rsidRPr="00AE408F">
        <w:rPr>
          <w:rFonts w:cs="Calibri"/>
          <w:i/>
          <w:sz w:val="16"/>
          <w:szCs w:val="16"/>
          <w:lang w:eastAsia="en-US"/>
        </w:rPr>
        <w:t>‘Post-hepatectomy haemorrhage (PHH) is defined as a drop of haemoglobin level &gt;3 g/dl after the end of surgery compared to postoperative baseline level and/or any postoperative transfusion of PRBCs for a falling hemoglobin and/or the need for invasive re-intervention (e.g. embolization or re-laparotomy) to stop bleeding.</w:t>
      </w:r>
    </w:p>
    <w:p w:rsidR="00445EBC" w:rsidRPr="00AE408F" w:rsidRDefault="00445EBC" w:rsidP="00AE408F">
      <w:pPr>
        <w:autoSpaceDE w:val="0"/>
        <w:autoSpaceDN w:val="0"/>
        <w:adjustRightInd w:val="0"/>
        <w:spacing w:after="0" w:line="240" w:lineRule="auto"/>
        <w:jc w:val="both"/>
        <w:rPr>
          <w:rFonts w:cs="Calibri"/>
          <w:i/>
          <w:sz w:val="16"/>
          <w:szCs w:val="16"/>
          <w:lang w:eastAsia="en-US"/>
        </w:rPr>
      </w:pPr>
      <w:r w:rsidRPr="00AE408F">
        <w:rPr>
          <w:rFonts w:cs="Calibri"/>
          <w:i/>
          <w:sz w:val="16"/>
          <w:szCs w:val="16"/>
          <w:lang w:eastAsia="en-US"/>
        </w:rPr>
        <w:t>To diagnose PHH (and to exclude other sources of haemorrhage) evidence of intraabdominal bleeding should be obtained such as frank blood loss via the abdominal drains if present (e.g. haemoglobin level in drain fluid &gt;3 g/dl) or detection of an</w:t>
      </w:r>
    </w:p>
    <w:p w:rsidR="00445EBC" w:rsidRPr="00AE408F" w:rsidRDefault="00445EBC" w:rsidP="00AE408F">
      <w:pPr>
        <w:autoSpaceDE w:val="0"/>
        <w:autoSpaceDN w:val="0"/>
        <w:adjustRightInd w:val="0"/>
        <w:spacing w:after="0" w:line="240" w:lineRule="auto"/>
        <w:jc w:val="both"/>
        <w:rPr>
          <w:rFonts w:cs="Calibri"/>
          <w:i/>
          <w:sz w:val="16"/>
          <w:szCs w:val="16"/>
          <w:lang w:eastAsia="en-US"/>
        </w:rPr>
      </w:pPr>
      <w:r w:rsidRPr="00AE408F">
        <w:rPr>
          <w:rFonts w:cs="Calibri"/>
          <w:i/>
          <w:sz w:val="16"/>
          <w:szCs w:val="16"/>
          <w:lang w:eastAsia="en-US"/>
        </w:rPr>
        <w:t>intra-abdominal haematoma or active haemorrhage by abdominal imaging (ultrasound, CT, angiography). Patients who are</w:t>
      </w:r>
    </w:p>
    <w:p w:rsidR="00445EBC" w:rsidRPr="00AE408F" w:rsidRDefault="00445EBC" w:rsidP="00AE408F">
      <w:pPr>
        <w:autoSpaceDE w:val="0"/>
        <w:autoSpaceDN w:val="0"/>
        <w:adjustRightInd w:val="0"/>
        <w:spacing w:after="0" w:line="240" w:lineRule="auto"/>
        <w:jc w:val="both"/>
        <w:rPr>
          <w:rFonts w:cs="Calibri"/>
          <w:i/>
          <w:sz w:val="16"/>
          <w:szCs w:val="16"/>
          <w:lang w:eastAsia="en-US"/>
        </w:rPr>
      </w:pPr>
      <w:r w:rsidRPr="00AE408F">
        <w:rPr>
          <w:rFonts w:cs="Calibri"/>
          <w:i/>
          <w:sz w:val="16"/>
          <w:szCs w:val="16"/>
          <w:lang w:eastAsia="en-US"/>
        </w:rPr>
        <w:t xml:space="preserve">transfused immediately postoperatively for intra-operative blood loss by a maximum of two units of PRBCs (i.e. who do not have evidence of active haemorrhage) are </w:t>
      </w:r>
      <w:r w:rsidRPr="00AE408F">
        <w:rPr>
          <w:rFonts w:cs="Calibri"/>
          <w:i/>
          <w:iCs/>
          <w:sz w:val="16"/>
          <w:szCs w:val="16"/>
          <w:lang w:eastAsia="en-US"/>
        </w:rPr>
        <w:t xml:space="preserve">not </w:t>
      </w:r>
      <w:r w:rsidRPr="00AE408F">
        <w:rPr>
          <w:rFonts w:cs="Calibri"/>
          <w:i/>
          <w:sz w:val="16"/>
          <w:szCs w:val="16"/>
          <w:lang w:eastAsia="en-US"/>
        </w:rPr>
        <w:t>diagnosed with PHH.’</w:t>
      </w:r>
    </w:p>
    <w:p w:rsidR="00445EBC" w:rsidRPr="00AE408F" w:rsidRDefault="00445EBC" w:rsidP="00AE408F">
      <w:pPr>
        <w:autoSpaceDE w:val="0"/>
        <w:autoSpaceDN w:val="0"/>
        <w:adjustRightInd w:val="0"/>
        <w:spacing w:after="0" w:line="240" w:lineRule="auto"/>
        <w:jc w:val="both"/>
        <w:rPr>
          <w:rFonts w:cs="Calibri"/>
          <w: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938"/>
      </w:tblGrid>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A</w:t>
            </w:r>
          </w:p>
        </w:tc>
        <w:tc>
          <w:tcPr>
            <w:tcW w:w="7938" w:type="dxa"/>
          </w:tcPr>
          <w:p w:rsidR="00445EBC" w:rsidRPr="00AE408F" w:rsidRDefault="00445EBC" w:rsidP="00AE408F">
            <w:pPr>
              <w:spacing w:after="0" w:line="240" w:lineRule="auto"/>
              <w:rPr>
                <w:sz w:val="18"/>
                <w:szCs w:val="18"/>
                <w:lang w:eastAsia="en-US"/>
              </w:rPr>
            </w:pPr>
            <w:r w:rsidRPr="00AE408F">
              <w:rPr>
                <w:sz w:val="18"/>
                <w:szCs w:val="18"/>
                <w:lang w:eastAsia="en-US"/>
              </w:rPr>
              <w:t xml:space="preserve">PHH requiring transfusion of up to 2 units of </w:t>
            </w:r>
            <w:smartTag w:uri="urn:schemas-microsoft-com:office:smarttags" w:element="stockticker">
              <w:r w:rsidRPr="00AE408F">
                <w:rPr>
                  <w:sz w:val="18"/>
                  <w:szCs w:val="18"/>
                  <w:lang w:eastAsia="en-US"/>
                </w:rPr>
                <w:t>RBC</w:t>
              </w:r>
            </w:smartTag>
            <w:r w:rsidRPr="00AE408F">
              <w:rPr>
                <w:sz w:val="18"/>
                <w:szCs w:val="18"/>
                <w:lang w:eastAsia="en-US"/>
              </w:rPr>
              <w:t>’S</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B</w:t>
            </w:r>
          </w:p>
        </w:tc>
        <w:tc>
          <w:tcPr>
            <w:tcW w:w="7938" w:type="dxa"/>
          </w:tcPr>
          <w:p w:rsidR="00445EBC" w:rsidRPr="00AE408F" w:rsidRDefault="00445EBC" w:rsidP="00AE408F">
            <w:pPr>
              <w:spacing w:after="0" w:line="240" w:lineRule="auto"/>
              <w:rPr>
                <w:sz w:val="18"/>
                <w:szCs w:val="18"/>
                <w:lang w:eastAsia="en-US"/>
              </w:rPr>
            </w:pPr>
            <w:r w:rsidRPr="00AE408F">
              <w:rPr>
                <w:sz w:val="18"/>
                <w:szCs w:val="18"/>
                <w:lang w:eastAsia="en-US"/>
              </w:rPr>
              <w:t xml:space="preserve">PHH requiring transfusion of &gt;2 units of </w:t>
            </w:r>
            <w:smartTag w:uri="urn:schemas-microsoft-com:office:smarttags" w:element="stockticker">
              <w:r w:rsidRPr="00AE408F">
                <w:rPr>
                  <w:sz w:val="18"/>
                  <w:szCs w:val="18"/>
                  <w:lang w:eastAsia="en-US"/>
                </w:rPr>
                <w:t>RBC</w:t>
              </w:r>
            </w:smartTag>
            <w:r w:rsidRPr="00AE408F">
              <w:rPr>
                <w:sz w:val="18"/>
                <w:szCs w:val="18"/>
                <w:lang w:eastAsia="en-US"/>
              </w:rPr>
              <w:t>’S but manageable without invasive intervention</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rPr>
                <w:b/>
                <w:sz w:val="18"/>
                <w:szCs w:val="18"/>
                <w:lang w:eastAsia="en-US"/>
              </w:rPr>
            </w:pPr>
            <w:r w:rsidRPr="00AE408F">
              <w:rPr>
                <w:b/>
                <w:sz w:val="18"/>
                <w:szCs w:val="18"/>
                <w:lang w:eastAsia="en-US"/>
              </w:rPr>
              <w:t>Grade C</w:t>
            </w:r>
          </w:p>
        </w:tc>
        <w:tc>
          <w:tcPr>
            <w:tcW w:w="7938" w:type="dxa"/>
          </w:tcPr>
          <w:p w:rsidR="00445EBC" w:rsidRPr="00AE408F" w:rsidRDefault="00445EBC" w:rsidP="00AE408F">
            <w:pPr>
              <w:autoSpaceDE w:val="0"/>
              <w:autoSpaceDN w:val="0"/>
              <w:adjustRightInd w:val="0"/>
              <w:spacing w:after="0" w:line="240" w:lineRule="auto"/>
              <w:rPr>
                <w:sz w:val="18"/>
                <w:szCs w:val="18"/>
                <w:lang w:eastAsia="en-US"/>
              </w:rPr>
            </w:pPr>
            <w:r w:rsidRPr="00AE408F">
              <w:rPr>
                <w:sz w:val="18"/>
                <w:szCs w:val="18"/>
                <w:lang w:eastAsia="en-US"/>
              </w:rPr>
              <w:t>PHH requiring radiological interventional treatment (e.g. embolization) or re laparotomy</w:t>
            </w:r>
          </w:p>
          <w:p w:rsidR="00445EBC" w:rsidRPr="00AE408F" w:rsidRDefault="00445EBC" w:rsidP="00AE408F">
            <w:pPr>
              <w:autoSpaceDE w:val="0"/>
              <w:autoSpaceDN w:val="0"/>
              <w:adjustRightInd w:val="0"/>
              <w:spacing w:after="0" w:line="240" w:lineRule="auto"/>
              <w:rPr>
                <w:sz w:val="18"/>
                <w:szCs w:val="18"/>
                <w:lang w:eastAsia="en-US"/>
              </w:rPr>
            </w:pPr>
          </w:p>
        </w:tc>
      </w:tr>
    </w:tbl>
    <w:p w:rsidR="00445EBC" w:rsidRPr="00AE408F" w:rsidRDefault="00445EBC" w:rsidP="00AE408F">
      <w:pPr>
        <w:spacing w:after="0" w:line="240" w:lineRule="auto"/>
        <w:rPr>
          <w:sz w:val="18"/>
          <w:szCs w:val="18"/>
          <w:lang w:eastAsia="en-US"/>
        </w:rPr>
      </w:pPr>
    </w:p>
    <w:p w:rsidR="00445EBC" w:rsidRPr="001D47C5" w:rsidRDefault="00445EBC" w:rsidP="00AE408F">
      <w:pPr>
        <w:spacing w:after="0" w:line="240" w:lineRule="auto"/>
        <w:rPr>
          <w:b/>
          <w:lang w:val="sv-SE" w:eastAsia="en-US"/>
        </w:rPr>
      </w:pPr>
      <w:r w:rsidRPr="001D47C5">
        <w:rPr>
          <w:b/>
          <w:lang w:val="sv-SE" w:eastAsia="en-US"/>
        </w:rPr>
        <w:t>G-L: Grade as per Clavien System:</w:t>
      </w:r>
    </w:p>
    <w:p w:rsidR="00445EBC" w:rsidRPr="001D47C5" w:rsidRDefault="00445EBC" w:rsidP="00AE408F">
      <w:pPr>
        <w:spacing w:after="0" w:line="240" w:lineRule="auto"/>
        <w:rPr>
          <w:sz w:val="16"/>
          <w:szCs w:val="16"/>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7716"/>
      </w:tblGrid>
      <w:tr w:rsidR="00445EBC" w:rsidRPr="00A55924" w:rsidTr="0003482B">
        <w:tc>
          <w:tcPr>
            <w:tcW w:w="1526" w:type="dxa"/>
            <w:shd w:val="clear" w:color="auto" w:fill="DDD9C3"/>
          </w:tcPr>
          <w:p w:rsidR="00445EBC" w:rsidRPr="00AE408F" w:rsidRDefault="00445EBC" w:rsidP="00AE408F">
            <w:pPr>
              <w:spacing w:after="0" w:line="240" w:lineRule="auto"/>
              <w:rPr>
                <w:b/>
                <w:u w:val="single"/>
                <w:lang w:eastAsia="en-US"/>
              </w:rPr>
            </w:pPr>
            <w:r w:rsidRPr="00AE408F">
              <w:rPr>
                <w:rFonts w:cs="TimesNewRomanPS"/>
                <w:b/>
                <w:sz w:val="18"/>
                <w:szCs w:val="18"/>
                <w:lang w:eastAsia="en-US"/>
              </w:rPr>
              <w:t>Grade I</w:t>
            </w:r>
          </w:p>
        </w:tc>
        <w:tc>
          <w:tcPr>
            <w:tcW w:w="7716" w:type="dxa"/>
          </w:tcPr>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Any deviation from the normal postoperative course without the need for pharmacological treatment or surgical, endoscopic, and radiological interventions</w:t>
            </w:r>
          </w:p>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Allowed therapeutic regimens are: drugs as antiemetics, antipyretics, analgetics, diuretics, electrolytes, and physiotherapy. This grade also includes wound infections opened at the bedside</w:t>
            </w:r>
          </w:p>
        </w:tc>
      </w:tr>
      <w:tr w:rsidR="00445EBC" w:rsidRPr="00A55924" w:rsidTr="0003482B">
        <w:tc>
          <w:tcPr>
            <w:tcW w:w="1526" w:type="dxa"/>
            <w:shd w:val="clear" w:color="auto" w:fill="DDD9C3"/>
          </w:tcPr>
          <w:p w:rsidR="00445EBC" w:rsidRPr="00AE408F" w:rsidRDefault="00445EBC" w:rsidP="00AE408F">
            <w:pPr>
              <w:spacing w:after="0" w:line="240" w:lineRule="auto"/>
              <w:rPr>
                <w:b/>
                <w:u w:val="single"/>
                <w:lang w:eastAsia="en-US"/>
              </w:rPr>
            </w:pPr>
            <w:r w:rsidRPr="00AE408F">
              <w:rPr>
                <w:rFonts w:cs="TimesNewRomanPS"/>
                <w:b/>
                <w:sz w:val="18"/>
                <w:szCs w:val="18"/>
                <w:lang w:eastAsia="en-US"/>
              </w:rPr>
              <w:t>Grade II</w:t>
            </w:r>
          </w:p>
        </w:tc>
        <w:tc>
          <w:tcPr>
            <w:tcW w:w="7716" w:type="dxa"/>
          </w:tcPr>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Requiring pharmacological treatment with drugs other than such allowed for grade I complications</w:t>
            </w:r>
          </w:p>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Blood transfusions and total parenteral nutrition are also included</w:t>
            </w:r>
          </w:p>
        </w:tc>
      </w:tr>
      <w:tr w:rsidR="00445EBC" w:rsidRPr="00A55924" w:rsidTr="0003482B">
        <w:tc>
          <w:tcPr>
            <w:tcW w:w="1526" w:type="dxa"/>
            <w:shd w:val="clear" w:color="auto" w:fill="DDD9C3"/>
          </w:tcPr>
          <w:p w:rsidR="00445EBC" w:rsidRPr="00AE408F" w:rsidRDefault="00445EBC" w:rsidP="00AE408F">
            <w:pPr>
              <w:spacing w:after="0" w:line="240" w:lineRule="auto"/>
              <w:rPr>
                <w:b/>
                <w:u w:val="single"/>
                <w:lang w:eastAsia="en-US"/>
              </w:rPr>
            </w:pPr>
            <w:r w:rsidRPr="00AE408F">
              <w:rPr>
                <w:rFonts w:cs="TimesNewRomanPS"/>
                <w:b/>
                <w:sz w:val="18"/>
                <w:szCs w:val="18"/>
                <w:lang w:eastAsia="en-US"/>
              </w:rPr>
              <w:t>Grade III</w:t>
            </w:r>
          </w:p>
        </w:tc>
        <w:tc>
          <w:tcPr>
            <w:tcW w:w="7716" w:type="dxa"/>
          </w:tcPr>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Requiring surgical, endoscopic or radiological intervention</w:t>
            </w:r>
          </w:p>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Grade IIIa - Intervention not under general anesthesia</w:t>
            </w:r>
          </w:p>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Grade IIIb - Intervention under general anesthesia</w:t>
            </w:r>
          </w:p>
        </w:tc>
      </w:tr>
      <w:tr w:rsidR="00445EBC" w:rsidRPr="00A55924" w:rsidTr="0003482B">
        <w:tc>
          <w:tcPr>
            <w:tcW w:w="1526" w:type="dxa"/>
            <w:shd w:val="clear" w:color="auto" w:fill="DDD9C3"/>
          </w:tcPr>
          <w:p w:rsidR="00445EBC" w:rsidRPr="00AE408F" w:rsidRDefault="00445EBC" w:rsidP="00AE408F">
            <w:pPr>
              <w:spacing w:after="0" w:line="240" w:lineRule="auto"/>
              <w:rPr>
                <w:b/>
                <w:u w:val="single"/>
                <w:lang w:eastAsia="en-US"/>
              </w:rPr>
            </w:pPr>
            <w:r w:rsidRPr="00AE408F">
              <w:rPr>
                <w:rFonts w:cs="TimesNewRomanPS"/>
                <w:b/>
                <w:sz w:val="18"/>
                <w:szCs w:val="18"/>
                <w:lang w:eastAsia="en-US"/>
              </w:rPr>
              <w:t>Grade IV</w:t>
            </w:r>
          </w:p>
        </w:tc>
        <w:tc>
          <w:tcPr>
            <w:tcW w:w="7716" w:type="dxa"/>
          </w:tcPr>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Life-threatening complication (including CNS complications)* requiring IC/ICU management</w:t>
            </w:r>
          </w:p>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Grade IVa Single organ dysfunction (including dialysis)</w:t>
            </w:r>
          </w:p>
          <w:p w:rsidR="00445EBC" w:rsidRPr="00AE408F" w:rsidRDefault="00445EBC" w:rsidP="00AE408F">
            <w:pPr>
              <w:autoSpaceDE w:val="0"/>
              <w:autoSpaceDN w:val="0"/>
              <w:adjustRightInd w:val="0"/>
              <w:spacing w:after="0" w:line="240" w:lineRule="auto"/>
              <w:rPr>
                <w:rFonts w:cs="TimesNewRomanPS"/>
                <w:sz w:val="18"/>
                <w:szCs w:val="18"/>
                <w:lang w:eastAsia="en-US"/>
              </w:rPr>
            </w:pPr>
            <w:r w:rsidRPr="00AE408F">
              <w:rPr>
                <w:rFonts w:cs="TimesNewRomanPS"/>
                <w:sz w:val="18"/>
                <w:szCs w:val="18"/>
                <w:lang w:eastAsia="en-US"/>
              </w:rPr>
              <w:t>Grade IVb Multiorgan dysfunction</w:t>
            </w:r>
          </w:p>
        </w:tc>
      </w:tr>
      <w:tr w:rsidR="00445EBC" w:rsidRPr="00A55924" w:rsidTr="0003482B">
        <w:tc>
          <w:tcPr>
            <w:tcW w:w="1526" w:type="dxa"/>
            <w:shd w:val="clear" w:color="auto" w:fill="DDD9C3"/>
          </w:tcPr>
          <w:p w:rsidR="00445EBC" w:rsidRPr="00AE408F" w:rsidRDefault="00445EBC" w:rsidP="00AE408F">
            <w:pPr>
              <w:autoSpaceDE w:val="0"/>
              <w:autoSpaceDN w:val="0"/>
              <w:adjustRightInd w:val="0"/>
              <w:spacing w:after="0" w:line="240" w:lineRule="auto"/>
              <w:rPr>
                <w:rFonts w:cs="TimesNewRomanPS"/>
                <w:b/>
                <w:sz w:val="18"/>
                <w:szCs w:val="18"/>
                <w:lang w:eastAsia="en-US"/>
              </w:rPr>
            </w:pPr>
            <w:r w:rsidRPr="00AE408F">
              <w:rPr>
                <w:rFonts w:cs="TimesNewRomanPS"/>
                <w:b/>
                <w:sz w:val="18"/>
                <w:szCs w:val="18"/>
                <w:lang w:eastAsia="en-US"/>
              </w:rPr>
              <w:t xml:space="preserve">Grade V </w:t>
            </w:r>
          </w:p>
          <w:p w:rsidR="00445EBC" w:rsidRPr="00AE408F" w:rsidRDefault="00445EBC" w:rsidP="00AE408F">
            <w:pPr>
              <w:spacing w:after="0" w:line="240" w:lineRule="auto"/>
              <w:rPr>
                <w:b/>
                <w:u w:val="single"/>
                <w:lang w:eastAsia="en-US"/>
              </w:rPr>
            </w:pPr>
          </w:p>
        </w:tc>
        <w:tc>
          <w:tcPr>
            <w:tcW w:w="7716" w:type="dxa"/>
          </w:tcPr>
          <w:p w:rsidR="00445EBC" w:rsidRPr="00AE408F" w:rsidRDefault="00445EBC" w:rsidP="00AE408F">
            <w:pPr>
              <w:spacing w:after="0" w:line="240" w:lineRule="auto"/>
              <w:rPr>
                <w:u w:val="single"/>
                <w:lang w:eastAsia="en-US"/>
              </w:rPr>
            </w:pPr>
            <w:r w:rsidRPr="00AE408F">
              <w:rPr>
                <w:rFonts w:cs="TimesNewRomanPS"/>
                <w:sz w:val="18"/>
                <w:szCs w:val="18"/>
                <w:lang w:eastAsia="en-US"/>
              </w:rPr>
              <w:t>Death of a patient</w:t>
            </w:r>
          </w:p>
        </w:tc>
      </w:tr>
    </w:tbl>
    <w:p w:rsidR="00445EBC" w:rsidRPr="00AE408F" w:rsidRDefault="00445EBC" w:rsidP="00AE408F">
      <w:pPr>
        <w:spacing w:after="0" w:line="240" w:lineRule="auto"/>
        <w:rPr>
          <w:sz w:val="16"/>
          <w:szCs w:val="16"/>
          <w:lang w:eastAsia="en-US"/>
        </w:rPr>
      </w:pPr>
      <w:r w:rsidRPr="00AE408F">
        <w:rPr>
          <w:sz w:val="16"/>
          <w:szCs w:val="16"/>
          <w:lang w:eastAsia="en-US"/>
        </w:rPr>
        <w:t>*Brain hemorrhage, ischemic stroke, subarrachnoidal bleeding, but excluding transient ischemic attacks.</w:t>
      </w:r>
    </w:p>
    <w:p w:rsidR="00445EBC" w:rsidRPr="00AE408F" w:rsidRDefault="00445EBC" w:rsidP="00AE408F">
      <w:pPr>
        <w:spacing w:after="0" w:line="240" w:lineRule="auto"/>
        <w:rPr>
          <w:sz w:val="16"/>
          <w:szCs w:val="16"/>
          <w:lang w:eastAsia="en-US"/>
        </w:rPr>
      </w:pPr>
      <w:r w:rsidRPr="00AE408F">
        <w:rPr>
          <w:sz w:val="16"/>
          <w:szCs w:val="16"/>
          <w:lang w:eastAsia="en-US"/>
        </w:rPr>
        <w:t>CNS, central nervous system; IC, intermediate care; ICU, intensive care unit.</w:t>
      </w:r>
    </w:p>
    <w:p w:rsidR="00445EBC" w:rsidRPr="00AE408F" w:rsidRDefault="00445EBC" w:rsidP="00AE408F">
      <w:pPr>
        <w:spacing w:after="0" w:line="240" w:lineRule="auto"/>
        <w:rPr>
          <w:sz w:val="18"/>
          <w:szCs w:val="18"/>
          <w:lang w:eastAsia="en-US"/>
        </w:rPr>
      </w:pPr>
    </w:p>
    <w:p w:rsidR="00445EBC" w:rsidRPr="00AE408F" w:rsidRDefault="00445EBC" w:rsidP="00AE408F">
      <w:pPr>
        <w:spacing w:after="0" w:line="240" w:lineRule="auto"/>
        <w:rPr>
          <w:b/>
          <w:lang w:eastAsia="en-US"/>
        </w:rPr>
      </w:pPr>
      <w:r w:rsidRPr="00AE408F">
        <w:rPr>
          <w:b/>
          <w:lang w:eastAsia="en-US"/>
        </w:rPr>
        <w:t>M: Death analysis</w:t>
      </w:r>
    </w:p>
    <w:p w:rsidR="00445EBC" w:rsidRPr="00AE408F" w:rsidRDefault="00445EBC" w:rsidP="00AE408F">
      <w:pPr>
        <w:spacing w:after="0" w:line="240" w:lineRule="auto"/>
        <w:rPr>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378"/>
        <w:gridCol w:w="1300"/>
        <w:gridCol w:w="3322"/>
      </w:tblGrid>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A</w:t>
            </w:r>
          </w:p>
        </w:tc>
        <w:tc>
          <w:tcPr>
            <w:tcW w:w="3378" w:type="dxa"/>
          </w:tcPr>
          <w:p w:rsidR="00445EBC" w:rsidRPr="00AE408F" w:rsidRDefault="00445EBC" w:rsidP="00AE408F">
            <w:pPr>
              <w:spacing w:after="0" w:line="240" w:lineRule="auto"/>
              <w:rPr>
                <w:b/>
                <w:sz w:val="18"/>
                <w:szCs w:val="18"/>
                <w:lang w:eastAsia="en-US"/>
              </w:rPr>
            </w:pPr>
            <w:r w:rsidRPr="00AE408F">
              <w:rPr>
                <w:b/>
                <w:sz w:val="18"/>
                <w:szCs w:val="18"/>
                <w:lang w:eastAsia="en-US"/>
              </w:rPr>
              <w:t>Non preventable:</w:t>
            </w:r>
          </w:p>
          <w:p w:rsidR="00445EBC" w:rsidRPr="00AE408F" w:rsidRDefault="00445EBC" w:rsidP="00AE408F">
            <w:pPr>
              <w:spacing w:after="0" w:line="240" w:lineRule="auto"/>
              <w:rPr>
                <w:sz w:val="18"/>
                <w:szCs w:val="18"/>
                <w:lang w:eastAsia="en-US"/>
              </w:rPr>
            </w:pPr>
            <w:r w:rsidRPr="00AE408F">
              <w:rPr>
                <w:sz w:val="18"/>
                <w:szCs w:val="18"/>
                <w:lang w:eastAsia="en-US"/>
              </w:rPr>
              <w:t>Requires that:</w:t>
            </w:r>
          </w:p>
          <w:p w:rsidR="00445EBC" w:rsidRPr="00AE408F" w:rsidRDefault="00445EBC" w:rsidP="00AE408F">
            <w:pPr>
              <w:numPr>
                <w:ilvl w:val="0"/>
                <w:numId w:val="2"/>
              </w:numPr>
              <w:spacing w:after="0" w:line="240" w:lineRule="auto"/>
              <w:rPr>
                <w:sz w:val="18"/>
                <w:szCs w:val="18"/>
                <w:lang w:eastAsia="en-US"/>
              </w:rPr>
            </w:pPr>
            <w:r w:rsidRPr="00AE408F">
              <w:rPr>
                <w:sz w:val="18"/>
                <w:szCs w:val="18"/>
                <w:lang w:eastAsia="en-US"/>
              </w:rPr>
              <w:t>To a resonable degree of medical certainty, outcome would have been the same regardless of any errors</w:t>
            </w:r>
          </w:p>
          <w:p w:rsidR="00445EBC" w:rsidRPr="00AE408F" w:rsidRDefault="00445EBC" w:rsidP="00AE408F">
            <w:pPr>
              <w:numPr>
                <w:ilvl w:val="0"/>
                <w:numId w:val="2"/>
              </w:numPr>
              <w:spacing w:after="0" w:line="240" w:lineRule="auto"/>
              <w:rPr>
                <w:sz w:val="18"/>
                <w:szCs w:val="18"/>
                <w:lang w:eastAsia="en-US"/>
              </w:rPr>
            </w:pPr>
            <w:r w:rsidRPr="00AE408F">
              <w:rPr>
                <w:sz w:val="18"/>
                <w:szCs w:val="18"/>
                <w:lang w:eastAsia="en-US"/>
              </w:rPr>
              <w:t>No substantive errors were made and identified</w:t>
            </w: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C</w:t>
            </w:r>
          </w:p>
        </w:tc>
        <w:tc>
          <w:tcPr>
            <w:tcW w:w="3322" w:type="dxa"/>
          </w:tcPr>
          <w:p w:rsidR="00445EBC" w:rsidRPr="00AE408F" w:rsidRDefault="00445EBC" w:rsidP="00AE408F">
            <w:pPr>
              <w:spacing w:after="0" w:line="240" w:lineRule="auto"/>
              <w:rPr>
                <w:b/>
                <w:sz w:val="18"/>
                <w:szCs w:val="18"/>
                <w:lang w:eastAsia="en-US"/>
              </w:rPr>
            </w:pPr>
            <w:r w:rsidRPr="00AE408F">
              <w:rPr>
                <w:b/>
                <w:sz w:val="18"/>
                <w:szCs w:val="18"/>
                <w:lang w:eastAsia="en-US"/>
              </w:rPr>
              <w:t>Probably Preventable:</w:t>
            </w:r>
          </w:p>
          <w:p w:rsidR="00445EBC" w:rsidRPr="00AE408F" w:rsidRDefault="00445EBC" w:rsidP="00AE408F">
            <w:pPr>
              <w:spacing w:after="0" w:line="240" w:lineRule="auto"/>
              <w:rPr>
                <w:sz w:val="18"/>
                <w:szCs w:val="18"/>
                <w:lang w:eastAsia="en-US"/>
              </w:rPr>
            </w:pPr>
            <w:r w:rsidRPr="00AE408F">
              <w:rPr>
                <w:sz w:val="18"/>
                <w:szCs w:val="18"/>
                <w:lang w:eastAsia="en-US"/>
              </w:rPr>
              <w:t>Requires that:</w:t>
            </w:r>
          </w:p>
          <w:p w:rsidR="00445EBC" w:rsidRPr="00AE408F" w:rsidRDefault="00445EBC" w:rsidP="00AE408F">
            <w:pPr>
              <w:numPr>
                <w:ilvl w:val="0"/>
                <w:numId w:val="3"/>
              </w:numPr>
              <w:spacing w:after="0" w:line="240" w:lineRule="auto"/>
              <w:rPr>
                <w:sz w:val="18"/>
                <w:szCs w:val="18"/>
                <w:lang w:eastAsia="en-US"/>
              </w:rPr>
            </w:pPr>
            <w:r w:rsidRPr="00AE408F">
              <w:rPr>
                <w:sz w:val="18"/>
                <w:szCs w:val="18"/>
                <w:lang w:eastAsia="en-US"/>
              </w:rPr>
              <w:t>Substantive errors made and identified</w:t>
            </w:r>
          </w:p>
          <w:p w:rsidR="00445EBC" w:rsidRPr="00AE408F" w:rsidRDefault="00445EBC" w:rsidP="00AE408F">
            <w:pPr>
              <w:numPr>
                <w:ilvl w:val="0"/>
                <w:numId w:val="3"/>
              </w:numPr>
              <w:spacing w:after="0" w:line="240" w:lineRule="auto"/>
              <w:rPr>
                <w:sz w:val="18"/>
                <w:szCs w:val="18"/>
                <w:lang w:eastAsia="en-US"/>
              </w:rPr>
            </w:pPr>
            <w:r w:rsidRPr="00AE408F">
              <w:rPr>
                <w:sz w:val="18"/>
                <w:szCs w:val="18"/>
                <w:lang w:eastAsia="en-US"/>
              </w:rPr>
              <w:t>Errors were prospective errors</w:t>
            </w:r>
          </w:p>
          <w:p w:rsidR="00445EBC" w:rsidRPr="00AE408F" w:rsidRDefault="00445EBC" w:rsidP="00AE408F">
            <w:pPr>
              <w:numPr>
                <w:ilvl w:val="0"/>
                <w:numId w:val="3"/>
              </w:numPr>
              <w:spacing w:after="0" w:line="240" w:lineRule="auto"/>
              <w:rPr>
                <w:sz w:val="18"/>
                <w:szCs w:val="18"/>
                <w:lang w:eastAsia="en-US"/>
              </w:rPr>
            </w:pPr>
            <w:r w:rsidRPr="00AE408F">
              <w:rPr>
                <w:sz w:val="18"/>
                <w:szCs w:val="18"/>
                <w:lang w:eastAsia="en-US"/>
              </w:rPr>
              <w:t>Death did not meet criteria for preventable</w:t>
            </w:r>
          </w:p>
          <w:p w:rsidR="00445EBC" w:rsidRPr="00AE408F" w:rsidRDefault="00445EBC" w:rsidP="00AE408F">
            <w:pPr>
              <w:numPr>
                <w:ilvl w:val="0"/>
                <w:numId w:val="3"/>
              </w:numPr>
              <w:spacing w:after="0" w:line="240" w:lineRule="auto"/>
              <w:rPr>
                <w:sz w:val="18"/>
                <w:szCs w:val="18"/>
                <w:lang w:eastAsia="en-US"/>
              </w:rPr>
            </w:pPr>
            <w:r w:rsidRPr="00AE408F">
              <w:rPr>
                <w:sz w:val="18"/>
                <w:szCs w:val="18"/>
                <w:lang w:eastAsia="en-US"/>
              </w:rPr>
              <w:t>More likely than not, death would NOT have occurred had the identified errors been avoided</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B</w:t>
            </w:r>
          </w:p>
        </w:tc>
        <w:tc>
          <w:tcPr>
            <w:tcW w:w="3378" w:type="dxa"/>
          </w:tcPr>
          <w:p w:rsidR="00445EBC" w:rsidRPr="00AE408F" w:rsidRDefault="00445EBC" w:rsidP="00AE408F">
            <w:pPr>
              <w:spacing w:after="0" w:line="240" w:lineRule="auto"/>
              <w:rPr>
                <w:b/>
                <w:sz w:val="18"/>
                <w:szCs w:val="18"/>
                <w:lang w:eastAsia="en-US"/>
              </w:rPr>
            </w:pPr>
            <w:r w:rsidRPr="00AE408F">
              <w:rPr>
                <w:b/>
                <w:sz w:val="18"/>
                <w:szCs w:val="18"/>
                <w:lang w:eastAsia="en-US"/>
              </w:rPr>
              <w:t>Possibly preventable:</w:t>
            </w:r>
          </w:p>
          <w:p w:rsidR="00445EBC" w:rsidRPr="00AE408F" w:rsidRDefault="00445EBC" w:rsidP="00AE408F">
            <w:pPr>
              <w:spacing w:after="0" w:line="240" w:lineRule="auto"/>
              <w:rPr>
                <w:sz w:val="18"/>
                <w:szCs w:val="18"/>
                <w:lang w:eastAsia="en-US"/>
              </w:rPr>
            </w:pPr>
            <w:r w:rsidRPr="00AE408F">
              <w:rPr>
                <w:sz w:val="18"/>
                <w:szCs w:val="18"/>
                <w:lang w:eastAsia="en-US"/>
              </w:rPr>
              <w:t>Requires that:</w:t>
            </w:r>
          </w:p>
          <w:p w:rsidR="00445EBC" w:rsidRPr="00AE408F" w:rsidRDefault="00445EBC" w:rsidP="00AE408F">
            <w:pPr>
              <w:numPr>
                <w:ilvl w:val="0"/>
                <w:numId w:val="1"/>
              </w:numPr>
              <w:spacing w:after="0" w:line="240" w:lineRule="auto"/>
              <w:rPr>
                <w:sz w:val="18"/>
                <w:szCs w:val="18"/>
                <w:lang w:eastAsia="en-US"/>
              </w:rPr>
            </w:pPr>
            <w:r w:rsidRPr="00AE408F">
              <w:rPr>
                <w:sz w:val="18"/>
                <w:szCs w:val="18"/>
                <w:lang w:eastAsia="en-US"/>
              </w:rPr>
              <w:t>Substantive errors made and identified</w:t>
            </w:r>
          </w:p>
          <w:p w:rsidR="00445EBC" w:rsidRPr="00AE408F" w:rsidRDefault="00445EBC" w:rsidP="00AE408F">
            <w:pPr>
              <w:numPr>
                <w:ilvl w:val="0"/>
                <w:numId w:val="1"/>
              </w:numPr>
              <w:spacing w:after="0" w:line="240" w:lineRule="auto"/>
              <w:rPr>
                <w:sz w:val="18"/>
                <w:szCs w:val="18"/>
                <w:lang w:eastAsia="en-US"/>
              </w:rPr>
            </w:pPr>
            <w:r w:rsidRPr="00AE408F">
              <w:rPr>
                <w:sz w:val="18"/>
                <w:szCs w:val="18"/>
                <w:lang w:eastAsia="en-US"/>
              </w:rPr>
              <w:t>Errors were prospective or retrospective errors</w:t>
            </w:r>
          </w:p>
          <w:p w:rsidR="00445EBC" w:rsidRPr="00AE408F" w:rsidRDefault="00445EBC" w:rsidP="00AE408F">
            <w:pPr>
              <w:numPr>
                <w:ilvl w:val="0"/>
                <w:numId w:val="1"/>
              </w:numPr>
              <w:spacing w:after="0" w:line="240" w:lineRule="auto"/>
              <w:rPr>
                <w:sz w:val="18"/>
                <w:szCs w:val="18"/>
                <w:lang w:eastAsia="en-US"/>
              </w:rPr>
            </w:pPr>
            <w:r w:rsidRPr="00AE408F">
              <w:rPr>
                <w:sz w:val="18"/>
                <w:szCs w:val="18"/>
                <w:lang w:eastAsia="en-US"/>
              </w:rPr>
              <w:t>Death did not meet criteria for non preventable</w:t>
            </w:r>
          </w:p>
          <w:p w:rsidR="00445EBC" w:rsidRPr="00AE408F" w:rsidRDefault="00445EBC" w:rsidP="00AE408F">
            <w:pPr>
              <w:numPr>
                <w:ilvl w:val="0"/>
                <w:numId w:val="1"/>
              </w:numPr>
              <w:spacing w:after="0" w:line="240" w:lineRule="auto"/>
              <w:rPr>
                <w:sz w:val="18"/>
                <w:szCs w:val="18"/>
                <w:lang w:eastAsia="en-US"/>
              </w:rPr>
            </w:pPr>
            <w:r w:rsidRPr="00AE408F">
              <w:rPr>
                <w:sz w:val="18"/>
                <w:szCs w:val="18"/>
                <w:lang w:eastAsia="en-US"/>
              </w:rPr>
              <w:t>More likely than not, outcome would have been the same regardless of errors made</w:t>
            </w: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D</w:t>
            </w:r>
          </w:p>
        </w:tc>
        <w:tc>
          <w:tcPr>
            <w:tcW w:w="3322" w:type="dxa"/>
          </w:tcPr>
          <w:p w:rsidR="00445EBC" w:rsidRPr="00AE408F" w:rsidRDefault="00445EBC" w:rsidP="00AE408F">
            <w:pPr>
              <w:spacing w:after="0" w:line="240" w:lineRule="auto"/>
              <w:rPr>
                <w:b/>
                <w:sz w:val="18"/>
                <w:szCs w:val="18"/>
                <w:lang w:eastAsia="en-US"/>
              </w:rPr>
            </w:pPr>
            <w:r w:rsidRPr="00AE408F">
              <w:rPr>
                <w:b/>
                <w:sz w:val="18"/>
                <w:szCs w:val="18"/>
                <w:lang w:eastAsia="en-US"/>
              </w:rPr>
              <w:t>Preventable:</w:t>
            </w:r>
          </w:p>
          <w:p w:rsidR="00445EBC" w:rsidRPr="00AE408F" w:rsidRDefault="00445EBC" w:rsidP="00AE408F">
            <w:pPr>
              <w:spacing w:after="0" w:line="240" w:lineRule="auto"/>
              <w:rPr>
                <w:sz w:val="18"/>
                <w:szCs w:val="18"/>
                <w:lang w:eastAsia="en-US"/>
              </w:rPr>
            </w:pPr>
            <w:r w:rsidRPr="00AE408F">
              <w:rPr>
                <w:sz w:val="18"/>
                <w:szCs w:val="18"/>
                <w:lang w:eastAsia="en-US"/>
              </w:rPr>
              <w:t>Requires that:</w:t>
            </w:r>
          </w:p>
          <w:p w:rsidR="00445EBC" w:rsidRPr="00AE408F" w:rsidRDefault="00445EBC" w:rsidP="00AE408F">
            <w:pPr>
              <w:numPr>
                <w:ilvl w:val="0"/>
                <w:numId w:val="4"/>
              </w:numPr>
              <w:spacing w:after="0" w:line="240" w:lineRule="auto"/>
              <w:rPr>
                <w:sz w:val="18"/>
                <w:szCs w:val="18"/>
                <w:lang w:eastAsia="en-US"/>
              </w:rPr>
            </w:pPr>
            <w:r w:rsidRPr="00AE408F">
              <w:rPr>
                <w:sz w:val="18"/>
                <w:szCs w:val="18"/>
                <w:lang w:eastAsia="en-US"/>
              </w:rPr>
              <w:t>Substantive errors made and identified</w:t>
            </w:r>
          </w:p>
          <w:p w:rsidR="00445EBC" w:rsidRPr="00AE408F" w:rsidRDefault="00445EBC" w:rsidP="00AE408F">
            <w:pPr>
              <w:numPr>
                <w:ilvl w:val="0"/>
                <w:numId w:val="4"/>
              </w:numPr>
              <w:spacing w:after="0" w:line="240" w:lineRule="auto"/>
              <w:rPr>
                <w:sz w:val="18"/>
                <w:szCs w:val="18"/>
                <w:lang w:eastAsia="en-US"/>
              </w:rPr>
            </w:pPr>
            <w:r w:rsidRPr="00AE408F">
              <w:rPr>
                <w:sz w:val="18"/>
                <w:szCs w:val="18"/>
                <w:lang w:eastAsia="en-US"/>
              </w:rPr>
              <w:t>Errors were prospective errors</w:t>
            </w:r>
          </w:p>
          <w:p w:rsidR="00445EBC" w:rsidRPr="00AE408F" w:rsidRDefault="00445EBC" w:rsidP="00AE408F">
            <w:pPr>
              <w:numPr>
                <w:ilvl w:val="0"/>
                <w:numId w:val="4"/>
              </w:numPr>
              <w:spacing w:after="0" w:line="240" w:lineRule="auto"/>
              <w:rPr>
                <w:sz w:val="18"/>
                <w:szCs w:val="18"/>
                <w:lang w:eastAsia="en-US"/>
              </w:rPr>
            </w:pPr>
            <w:r w:rsidRPr="00AE408F">
              <w:rPr>
                <w:sz w:val="18"/>
                <w:szCs w:val="18"/>
                <w:lang w:eastAsia="en-US"/>
              </w:rPr>
              <w:t>To a reasonable degree of certainty, death would NOT have occurred had the identified errors been avoided</w:t>
            </w:r>
          </w:p>
        </w:tc>
      </w:tr>
    </w:tbl>
    <w:p w:rsidR="00445EBC" w:rsidRPr="00AE408F" w:rsidRDefault="00445EBC" w:rsidP="00AE408F">
      <w:pPr>
        <w:spacing w:after="0" w:line="240" w:lineRule="auto"/>
        <w:rPr>
          <w:b/>
          <w:lang w:eastAsia="en-US"/>
        </w:rPr>
      </w:pPr>
    </w:p>
    <w:p w:rsidR="00445EBC" w:rsidRPr="00AE408F" w:rsidRDefault="00445EBC" w:rsidP="00AE408F">
      <w:pPr>
        <w:spacing w:after="0" w:line="240" w:lineRule="auto"/>
        <w:rPr>
          <w:b/>
          <w:lang w:eastAsia="en-US"/>
        </w:rPr>
      </w:pPr>
      <w:r w:rsidRPr="00AE408F">
        <w:rPr>
          <w:b/>
          <w:lang w:eastAsia="en-US"/>
        </w:rPr>
        <w:t>Justification of errors:</w:t>
      </w:r>
    </w:p>
    <w:p w:rsidR="00445EBC" w:rsidRPr="00AE408F" w:rsidRDefault="00445EBC" w:rsidP="00AE408F">
      <w:pPr>
        <w:spacing w:after="0" w:line="240" w:lineRule="auto"/>
        <w:rPr>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378"/>
        <w:gridCol w:w="1300"/>
        <w:gridCol w:w="3322"/>
      </w:tblGrid>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A</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Justifiable, unavoidable, or consistent with reasonable and prudent practice given the situation or clinical data available.</w:t>
            </w: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C</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Indeterminate, controversial, cannot be resolved.</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B</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Not justifiable, avoidable, not consistent with standards of practice or service.</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D</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No errors identified for this event</w:t>
            </w:r>
          </w:p>
        </w:tc>
      </w:tr>
    </w:tbl>
    <w:p w:rsidR="00445EBC" w:rsidRPr="00AE408F" w:rsidRDefault="00445EBC" w:rsidP="00AE408F">
      <w:pPr>
        <w:spacing w:after="0" w:line="240" w:lineRule="auto"/>
        <w:rPr>
          <w:sz w:val="18"/>
          <w:szCs w:val="18"/>
          <w:lang w:eastAsia="en-US"/>
        </w:rPr>
      </w:pPr>
    </w:p>
    <w:p w:rsidR="00445EBC" w:rsidRPr="00AE408F" w:rsidRDefault="00445EBC" w:rsidP="00AE408F">
      <w:pPr>
        <w:spacing w:after="0" w:line="240" w:lineRule="auto"/>
        <w:rPr>
          <w:b/>
          <w:lang w:eastAsia="en-US"/>
        </w:rPr>
      </w:pPr>
      <w:r w:rsidRPr="00AE408F">
        <w:rPr>
          <w:b/>
          <w:lang w:eastAsia="en-US"/>
        </w:rPr>
        <w:t>Action Plan:</w:t>
      </w:r>
    </w:p>
    <w:p w:rsidR="00445EBC" w:rsidRPr="00AE408F" w:rsidRDefault="00445EBC" w:rsidP="00AE408F">
      <w:pPr>
        <w:spacing w:after="0" w:line="240" w:lineRule="auto"/>
        <w:rPr>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378"/>
        <w:gridCol w:w="1300"/>
        <w:gridCol w:w="3322"/>
      </w:tblGrid>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A</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None required – explain in comments</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E</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Modification of dept, training program</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B</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Tabulation and tracking of problem for further reporting</w:t>
            </w: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F</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Individual counselling and discussion</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C</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Institution of formal Q/A audit</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G</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Educational offering</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D</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Formulation of new policy or procedure</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O</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Other inc. action pending review</w:t>
            </w:r>
          </w:p>
        </w:tc>
      </w:tr>
    </w:tbl>
    <w:p w:rsidR="00445EBC" w:rsidRPr="00AE408F" w:rsidRDefault="00445EBC" w:rsidP="00AE408F">
      <w:pPr>
        <w:rPr>
          <w:lang w:eastAsia="en-US"/>
        </w:rPr>
      </w:pPr>
    </w:p>
    <w:p w:rsidR="00445EBC" w:rsidRPr="00AE408F" w:rsidRDefault="00445EBC" w:rsidP="00AE408F">
      <w:pPr>
        <w:rPr>
          <w:b/>
          <w:lang w:eastAsia="en-US"/>
        </w:rPr>
      </w:pPr>
    </w:p>
    <w:p w:rsidR="00445EBC" w:rsidRPr="00AE408F" w:rsidRDefault="00445EBC" w:rsidP="00AE408F">
      <w:pPr>
        <w:rPr>
          <w:b/>
          <w:lang w:eastAsia="en-US"/>
        </w:rPr>
      </w:pPr>
    </w:p>
    <w:p w:rsidR="00445EBC" w:rsidRPr="00AE408F" w:rsidRDefault="00445EBC" w:rsidP="00AE408F">
      <w:pPr>
        <w:rPr>
          <w:b/>
          <w:lang w:eastAsia="en-US"/>
        </w:rPr>
      </w:pPr>
    </w:p>
    <w:p w:rsidR="00445EBC" w:rsidRPr="00AE408F" w:rsidRDefault="00445EBC" w:rsidP="00AE408F">
      <w:pPr>
        <w:rPr>
          <w:b/>
          <w:lang w:eastAsia="en-US"/>
        </w:rPr>
      </w:pPr>
    </w:p>
    <w:p w:rsidR="00445EBC" w:rsidRPr="00AE408F" w:rsidRDefault="00445EBC" w:rsidP="00AE408F">
      <w:pPr>
        <w:rPr>
          <w:b/>
          <w:lang w:eastAsia="en-US"/>
        </w:rPr>
      </w:pPr>
    </w:p>
    <w:p w:rsidR="00445EBC" w:rsidRPr="00AE408F" w:rsidRDefault="00445EBC" w:rsidP="00AE408F">
      <w:pPr>
        <w:rPr>
          <w:b/>
          <w:lang w:eastAsia="en-US"/>
        </w:rPr>
      </w:pPr>
    </w:p>
    <w:p w:rsidR="00445EBC" w:rsidRPr="00AE408F" w:rsidRDefault="00445EBC" w:rsidP="00AE408F">
      <w:pPr>
        <w:rPr>
          <w:b/>
          <w:lang w:eastAsia="en-US"/>
        </w:rPr>
      </w:pPr>
    </w:p>
    <w:p w:rsidR="00445EBC" w:rsidRPr="00AE408F" w:rsidRDefault="00445EBC" w:rsidP="00AE408F">
      <w:pPr>
        <w:rPr>
          <w:b/>
          <w:lang w:eastAsia="en-US"/>
        </w:rPr>
      </w:pPr>
      <w:r w:rsidRPr="00AE408F">
        <w:rPr>
          <w:b/>
          <w:lang w:eastAsia="en-US"/>
        </w:rPr>
        <w:t>ERRORS: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378"/>
        <w:gridCol w:w="1300"/>
        <w:gridCol w:w="3322"/>
      </w:tblGrid>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A</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Patient selection</w:t>
            </w: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I</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Blood / blood product error</w:t>
            </w:r>
          </w:p>
          <w:p w:rsidR="00445EBC" w:rsidRPr="00AE408F" w:rsidRDefault="00445EBC" w:rsidP="00AE408F">
            <w:pPr>
              <w:spacing w:after="0" w:line="240" w:lineRule="auto"/>
              <w:rPr>
                <w:sz w:val="18"/>
                <w:szCs w:val="18"/>
                <w:lang w:eastAsia="en-US"/>
              </w:rPr>
            </w:pP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B</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Delayed / missed diagnosis</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J</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Personnel unavailable / delayed</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C</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Delay to provide treatment</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K</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Inadequate patient monitoring</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D</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Intra operative / technical error</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L</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Inadequate documentation</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E</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Judgement error in patient management</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M</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Inadequate escalation of treatment</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F</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Equipment failure / unavailability</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N</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Failure to follow established policy</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G</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Drug error</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Z</w:t>
            </w:r>
          </w:p>
        </w:tc>
        <w:tc>
          <w:tcPr>
            <w:tcW w:w="3322" w:type="dxa"/>
          </w:tcPr>
          <w:p w:rsidR="00445EBC" w:rsidRPr="00AE408F" w:rsidRDefault="00445EBC" w:rsidP="00AE408F">
            <w:pPr>
              <w:spacing w:after="0" w:line="240" w:lineRule="auto"/>
              <w:rPr>
                <w:sz w:val="18"/>
                <w:szCs w:val="18"/>
                <w:lang w:eastAsia="en-US"/>
              </w:rPr>
            </w:pPr>
            <w:r w:rsidRPr="00AE408F">
              <w:rPr>
                <w:sz w:val="18"/>
                <w:szCs w:val="18"/>
                <w:lang w:eastAsia="en-US"/>
              </w:rPr>
              <w:t>No error</w:t>
            </w:r>
          </w:p>
        </w:tc>
      </w:tr>
      <w:tr w:rsidR="00445EBC" w:rsidRPr="00A55924" w:rsidTr="0003482B">
        <w:tc>
          <w:tcPr>
            <w:tcW w:w="1242" w:type="dxa"/>
            <w:shd w:val="clear" w:color="auto" w:fill="DDD9C3"/>
          </w:tcPr>
          <w:p w:rsidR="00445EBC" w:rsidRPr="00AE408F" w:rsidRDefault="00445EBC" w:rsidP="00AE408F">
            <w:pPr>
              <w:spacing w:after="0" w:line="240" w:lineRule="auto"/>
              <w:jc w:val="center"/>
              <w:rPr>
                <w:b/>
                <w:sz w:val="18"/>
                <w:szCs w:val="18"/>
                <w:lang w:eastAsia="en-US"/>
              </w:rPr>
            </w:pPr>
            <w:r w:rsidRPr="00AE408F">
              <w:rPr>
                <w:b/>
                <w:sz w:val="18"/>
                <w:szCs w:val="18"/>
                <w:lang w:eastAsia="en-US"/>
              </w:rPr>
              <w:t>H</w:t>
            </w:r>
          </w:p>
        </w:tc>
        <w:tc>
          <w:tcPr>
            <w:tcW w:w="3378" w:type="dxa"/>
          </w:tcPr>
          <w:p w:rsidR="00445EBC" w:rsidRPr="00AE408F" w:rsidRDefault="00445EBC" w:rsidP="00AE408F">
            <w:pPr>
              <w:spacing w:after="0" w:line="240" w:lineRule="auto"/>
              <w:rPr>
                <w:sz w:val="18"/>
                <w:szCs w:val="18"/>
                <w:lang w:eastAsia="en-US"/>
              </w:rPr>
            </w:pPr>
            <w:r w:rsidRPr="00AE408F">
              <w:rPr>
                <w:sz w:val="18"/>
                <w:szCs w:val="18"/>
                <w:lang w:eastAsia="en-US"/>
              </w:rPr>
              <w:t>IV Fluid error</w:t>
            </w:r>
          </w:p>
          <w:p w:rsidR="00445EBC" w:rsidRPr="00AE408F" w:rsidRDefault="00445EBC" w:rsidP="00AE408F">
            <w:pPr>
              <w:spacing w:after="0" w:line="240" w:lineRule="auto"/>
              <w:rPr>
                <w:sz w:val="18"/>
                <w:szCs w:val="18"/>
                <w:lang w:eastAsia="en-US"/>
              </w:rPr>
            </w:pPr>
          </w:p>
        </w:tc>
        <w:tc>
          <w:tcPr>
            <w:tcW w:w="1300" w:type="dxa"/>
            <w:shd w:val="clear" w:color="auto" w:fill="DDD9C3"/>
          </w:tcPr>
          <w:p w:rsidR="00445EBC" w:rsidRPr="00AE408F" w:rsidRDefault="00445EBC" w:rsidP="00AE408F">
            <w:pPr>
              <w:spacing w:after="0" w:line="240" w:lineRule="auto"/>
              <w:jc w:val="center"/>
              <w:rPr>
                <w:b/>
                <w:sz w:val="18"/>
                <w:szCs w:val="18"/>
                <w:lang w:eastAsia="en-US"/>
              </w:rPr>
            </w:pPr>
          </w:p>
        </w:tc>
        <w:tc>
          <w:tcPr>
            <w:tcW w:w="3322" w:type="dxa"/>
          </w:tcPr>
          <w:p w:rsidR="00445EBC" w:rsidRPr="00AE408F" w:rsidRDefault="00445EBC" w:rsidP="00AE408F">
            <w:pPr>
              <w:spacing w:after="0" w:line="240" w:lineRule="auto"/>
              <w:rPr>
                <w:sz w:val="18"/>
                <w:szCs w:val="18"/>
                <w:lang w:eastAsia="en-US"/>
              </w:rPr>
            </w:pPr>
          </w:p>
        </w:tc>
      </w:tr>
    </w:tbl>
    <w:p w:rsidR="00445EBC" w:rsidRPr="00AE408F" w:rsidRDefault="00445EBC" w:rsidP="00AE408F">
      <w:pPr>
        <w:rPr>
          <w:lang w:eastAsia="en-US"/>
        </w:rPr>
      </w:pPr>
    </w:p>
    <w:p w:rsidR="00445EBC" w:rsidRPr="00AE408F" w:rsidRDefault="00445EBC" w:rsidP="00AE408F">
      <w:pPr>
        <w:rPr>
          <w:lang w:eastAsia="en-US"/>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p>
    <w:p w:rsidR="00445EBC" w:rsidRDefault="00445EBC">
      <w:pPr>
        <w:rPr>
          <w:b/>
          <w:sz w:val="24"/>
          <w:szCs w:val="24"/>
        </w:rPr>
      </w:pPr>
      <w:r>
        <w:rPr>
          <w:b/>
          <w:sz w:val="24"/>
          <w:szCs w:val="24"/>
        </w:rPr>
        <w:t xml:space="preserve">Supplementary file: </w:t>
      </w:r>
    </w:p>
    <w:p w:rsidR="00445EBC" w:rsidRDefault="00445EBC">
      <w:pPr>
        <w:rPr>
          <w:b/>
          <w:sz w:val="24"/>
          <w:szCs w:val="24"/>
        </w:rPr>
      </w:pPr>
      <w:r w:rsidRPr="00C219B6">
        <w:rPr>
          <w:b/>
          <w:sz w:val="24"/>
          <w:szCs w:val="24"/>
        </w:rPr>
        <w:t>An example of the cost-savings that can be achieved by reducing complications</w:t>
      </w:r>
    </w:p>
    <w:p w:rsidR="00445EBC" w:rsidRPr="00AE408F" w:rsidRDefault="00445EBC">
      <w:pPr>
        <w:rPr>
          <w:b/>
          <w:sz w:val="24"/>
          <w:szCs w:val="24"/>
        </w:rPr>
      </w:pPr>
    </w:p>
    <w:p w:rsidR="00445EBC" w:rsidRPr="003D7359" w:rsidRDefault="00445EBC" w:rsidP="00C219B6">
      <w:pPr>
        <w:spacing w:after="0" w:line="240" w:lineRule="auto"/>
        <w:rPr>
          <w:b/>
        </w:rPr>
      </w:pPr>
      <w:r>
        <w:rPr>
          <w:b/>
        </w:rPr>
        <w:t>An e</w:t>
      </w:r>
      <w:r w:rsidRPr="003D7359">
        <w:rPr>
          <w:b/>
        </w:rPr>
        <w:t xml:space="preserve">xample of </w:t>
      </w:r>
      <w:r>
        <w:rPr>
          <w:b/>
        </w:rPr>
        <w:t>the cost-</w:t>
      </w:r>
      <w:r w:rsidRPr="003D7359">
        <w:rPr>
          <w:b/>
        </w:rPr>
        <w:t>savings</w:t>
      </w:r>
      <w:r>
        <w:rPr>
          <w:b/>
        </w:rPr>
        <w:t xml:space="preserve"> that can be achieved by reducing complications:</w:t>
      </w:r>
    </w:p>
    <w:p w:rsidR="00445EBC" w:rsidRPr="003D7359" w:rsidRDefault="00445EBC" w:rsidP="00C219B6">
      <w:pPr>
        <w:spacing w:after="0" w:line="240" w:lineRule="auto"/>
      </w:pPr>
      <w:r w:rsidRPr="003D7359">
        <w:t>The cost of an uncomplicated post-operative stay post</w:t>
      </w:r>
      <w:r>
        <w:t>-</w:t>
      </w:r>
      <w:r w:rsidRPr="003D7359">
        <w:t>pancreatectomy</w:t>
      </w:r>
      <w:r>
        <w:t>,</w:t>
      </w:r>
      <w:r w:rsidRPr="003D7359">
        <w:t xml:space="preserve"> based on bed days alone is as follows:</w:t>
      </w:r>
    </w:p>
    <w:p w:rsidR="00445EBC" w:rsidRPr="003D7359" w:rsidRDefault="00445EBC" w:rsidP="00C219B6">
      <w:pPr>
        <w:numPr>
          <w:ilvl w:val="1"/>
          <w:numId w:val="5"/>
        </w:numPr>
        <w:spacing w:after="0" w:line="240" w:lineRule="auto"/>
      </w:pPr>
      <w:r>
        <w:t xml:space="preserve">Median </w:t>
      </w:r>
      <w:r w:rsidRPr="003D7359">
        <w:t xml:space="preserve">Length of </w:t>
      </w:r>
      <w:r>
        <w:t>S</w:t>
      </w:r>
      <w:r w:rsidRPr="003D7359">
        <w:t>tay: 12.6 days (7-25)</w:t>
      </w:r>
    </w:p>
    <w:p w:rsidR="00445EBC" w:rsidRPr="003D7359" w:rsidRDefault="00445EBC" w:rsidP="00C219B6">
      <w:pPr>
        <w:numPr>
          <w:ilvl w:val="1"/>
          <w:numId w:val="5"/>
        </w:numPr>
        <w:spacing w:after="0" w:line="240" w:lineRule="auto"/>
      </w:pPr>
      <w:r>
        <w:t>Cost per day: £450</w:t>
      </w:r>
    </w:p>
    <w:p w:rsidR="00445EBC" w:rsidRPr="003D7359" w:rsidRDefault="00445EBC" w:rsidP="00C219B6">
      <w:pPr>
        <w:numPr>
          <w:ilvl w:val="1"/>
          <w:numId w:val="5"/>
        </w:numPr>
        <w:spacing w:after="0" w:line="240" w:lineRule="auto"/>
      </w:pPr>
      <w:r>
        <w:t xml:space="preserve">Total Cost of stay = </w:t>
      </w:r>
      <w:r>
        <w:rPr>
          <w:b/>
          <w:bCs/>
        </w:rPr>
        <w:t>£5670</w:t>
      </w:r>
    </w:p>
    <w:p w:rsidR="00445EBC" w:rsidRPr="003D7359" w:rsidRDefault="00445EBC" w:rsidP="00C219B6">
      <w:pPr>
        <w:spacing w:after="0" w:line="240" w:lineRule="auto"/>
      </w:pPr>
    </w:p>
    <w:p w:rsidR="00445EBC" w:rsidRPr="003D7359" w:rsidRDefault="00445EBC" w:rsidP="00C219B6">
      <w:pPr>
        <w:spacing w:after="0" w:line="240" w:lineRule="auto"/>
      </w:pPr>
      <w:r>
        <w:t>Cost of stay with development of grade B/C fistula:</w:t>
      </w:r>
    </w:p>
    <w:p w:rsidR="00445EBC" w:rsidRPr="003D7359" w:rsidRDefault="00445EBC" w:rsidP="00C219B6">
      <w:pPr>
        <w:numPr>
          <w:ilvl w:val="1"/>
          <w:numId w:val="5"/>
        </w:numPr>
        <w:spacing w:after="0" w:line="240" w:lineRule="auto"/>
      </w:pPr>
      <w:r>
        <w:t xml:space="preserve">Median </w:t>
      </w:r>
      <w:r w:rsidRPr="003D7359">
        <w:t xml:space="preserve">Length of </w:t>
      </w:r>
      <w:r>
        <w:t>S</w:t>
      </w:r>
      <w:r w:rsidRPr="003D7359">
        <w:t>tay: 23 days (8-33)</w:t>
      </w:r>
    </w:p>
    <w:p w:rsidR="00445EBC" w:rsidRPr="003D7359" w:rsidRDefault="00445EBC" w:rsidP="00C219B6">
      <w:pPr>
        <w:numPr>
          <w:ilvl w:val="1"/>
          <w:numId w:val="5"/>
        </w:numPr>
        <w:spacing w:after="0" w:line="240" w:lineRule="auto"/>
      </w:pPr>
      <w:r>
        <w:t>Cost per day: £450</w:t>
      </w:r>
    </w:p>
    <w:p w:rsidR="00445EBC" w:rsidRPr="006508C1" w:rsidRDefault="00445EBC" w:rsidP="00C219B6">
      <w:pPr>
        <w:numPr>
          <w:ilvl w:val="1"/>
          <w:numId w:val="5"/>
        </w:numPr>
        <w:spacing w:after="0" w:line="240" w:lineRule="auto"/>
      </w:pPr>
      <w:r>
        <w:t xml:space="preserve">Total Cost of stay  = </w:t>
      </w:r>
      <w:r>
        <w:rPr>
          <w:b/>
          <w:bCs/>
        </w:rPr>
        <w:t xml:space="preserve">£10,350 </w:t>
      </w:r>
    </w:p>
    <w:p w:rsidR="00445EBC" w:rsidRDefault="00445EBC" w:rsidP="00C219B6">
      <w:pPr>
        <w:spacing w:after="0" w:line="240" w:lineRule="auto"/>
        <w:rPr>
          <w:b/>
          <w:bCs/>
        </w:rPr>
      </w:pPr>
    </w:p>
    <w:p w:rsidR="00445EBC" w:rsidRDefault="00445EBC" w:rsidP="00C219B6">
      <w:pPr>
        <w:spacing w:after="0" w:line="240" w:lineRule="auto"/>
        <w:jc w:val="center"/>
      </w:pPr>
      <w:r>
        <w:rPr>
          <w:b/>
          <w:bCs/>
        </w:rPr>
        <w:t>i.e. A</w:t>
      </w:r>
      <w:r w:rsidRPr="003D7359">
        <w:rPr>
          <w:b/>
          <w:bCs/>
        </w:rPr>
        <w:t>dditional</w:t>
      </w:r>
      <w:r>
        <w:rPr>
          <w:b/>
          <w:bCs/>
        </w:rPr>
        <w:t xml:space="preserve"> costs from bed-days alone =</w:t>
      </w:r>
      <w:r w:rsidRPr="003D7359">
        <w:rPr>
          <w:b/>
          <w:bCs/>
        </w:rPr>
        <w:t xml:space="preserve"> £4680</w:t>
      </w:r>
    </w:p>
    <w:p w:rsidR="00445EBC" w:rsidRPr="003D7359" w:rsidRDefault="00445EBC" w:rsidP="00C219B6">
      <w:pPr>
        <w:spacing w:after="0" w:line="240" w:lineRule="auto"/>
      </w:pPr>
    </w:p>
    <w:p w:rsidR="00445EBC" w:rsidRPr="003D7359" w:rsidRDefault="00445EBC" w:rsidP="00C219B6">
      <w:pPr>
        <w:spacing w:after="0" w:line="240" w:lineRule="auto"/>
      </w:pPr>
      <w:r>
        <w:t>Note additional costs not included above will also include:</w:t>
      </w:r>
    </w:p>
    <w:p w:rsidR="00445EBC" w:rsidRPr="003D7359" w:rsidRDefault="00445EBC" w:rsidP="00C219B6">
      <w:pPr>
        <w:numPr>
          <w:ilvl w:val="2"/>
          <w:numId w:val="5"/>
        </w:numPr>
        <w:spacing w:after="0" w:line="240" w:lineRule="auto"/>
      </w:pPr>
      <w:r>
        <w:t>TPN: £50 per day</w:t>
      </w:r>
    </w:p>
    <w:p w:rsidR="00445EBC" w:rsidRPr="003D7359" w:rsidRDefault="00445EBC" w:rsidP="00C219B6">
      <w:pPr>
        <w:numPr>
          <w:ilvl w:val="2"/>
          <w:numId w:val="5"/>
        </w:numPr>
        <w:spacing w:after="0" w:line="240" w:lineRule="auto"/>
      </w:pPr>
      <w:r>
        <w:t>Octreotide: £6.60 per day</w:t>
      </w:r>
    </w:p>
    <w:p w:rsidR="00445EBC" w:rsidRPr="003D7359" w:rsidRDefault="00445EBC" w:rsidP="00C219B6">
      <w:pPr>
        <w:numPr>
          <w:ilvl w:val="2"/>
          <w:numId w:val="5"/>
        </w:numPr>
        <w:spacing w:after="0" w:line="240" w:lineRule="auto"/>
      </w:pPr>
      <w:r>
        <w:t>Radiological procedures: £200 per procedure</w:t>
      </w:r>
    </w:p>
    <w:p w:rsidR="00445EBC" w:rsidRDefault="00445EBC"/>
    <w:p w:rsidR="00445EBC" w:rsidRDefault="00445EBC"/>
    <w:p w:rsidR="00445EBC" w:rsidRDefault="00445EBC"/>
    <w:p w:rsidR="00445EBC" w:rsidRDefault="00445EBC"/>
    <w:p w:rsidR="00445EBC" w:rsidRDefault="00445EBC"/>
    <w:p w:rsidR="00445EBC" w:rsidRDefault="00445EBC"/>
    <w:p w:rsidR="00445EBC" w:rsidRDefault="00445EBC"/>
    <w:sectPr w:rsidR="00445EBC" w:rsidSect="007356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BookAntiqua">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AdvPSNCS-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F559A"/>
    <w:multiLevelType w:val="hybridMultilevel"/>
    <w:tmpl w:val="8BD04C7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47967D31"/>
    <w:multiLevelType w:val="hybridMultilevel"/>
    <w:tmpl w:val="264A2D9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8876AE4"/>
    <w:multiLevelType w:val="hybridMultilevel"/>
    <w:tmpl w:val="14AC80AC"/>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0070F2F"/>
    <w:multiLevelType w:val="hybridMultilevel"/>
    <w:tmpl w:val="5D620EDC"/>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A91526C"/>
    <w:multiLevelType w:val="hybridMultilevel"/>
    <w:tmpl w:val="849CD9DA"/>
    <w:lvl w:ilvl="0" w:tplc="F98AEEDE">
      <w:start w:val="1"/>
      <w:numFmt w:val="bullet"/>
      <w:lvlText w:val=""/>
      <w:lvlJc w:val="left"/>
      <w:pPr>
        <w:tabs>
          <w:tab w:val="num" w:pos="720"/>
        </w:tabs>
        <w:ind w:left="720" w:hanging="360"/>
      </w:pPr>
      <w:rPr>
        <w:rFonts w:ascii="Wingdings 2" w:hAnsi="Wingdings 2" w:hint="default"/>
      </w:rPr>
    </w:lvl>
    <w:lvl w:ilvl="1" w:tplc="458C78FC">
      <w:start w:val="898"/>
      <w:numFmt w:val="bullet"/>
      <w:lvlText w:val=""/>
      <w:lvlJc w:val="left"/>
      <w:pPr>
        <w:tabs>
          <w:tab w:val="num" w:pos="1440"/>
        </w:tabs>
        <w:ind w:left="1440" w:hanging="360"/>
      </w:pPr>
      <w:rPr>
        <w:rFonts w:ascii="Wingdings 2" w:hAnsi="Wingdings 2" w:hint="default"/>
      </w:rPr>
    </w:lvl>
    <w:lvl w:ilvl="2" w:tplc="D862EA96">
      <w:start w:val="898"/>
      <w:numFmt w:val="bullet"/>
      <w:lvlText w:val=""/>
      <w:lvlJc w:val="left"/>
      <w:pPr>
        <w:tabs>
          <w:tab w:val="num" w:pos="2160"/>
        </w:tabs>
        <w:ind w:left="2160" w:hanging="360"/>
      </w:pPr>
      <w:rPr>
        <w:rFonts w:ascii="Wingdings 2" w:hAnsi="Wingdings 2" w:hint="default"/>
      </w:rPr>
    </w:lvl>
    <w:lvl w:ilvl="3" w:tplc="44E2242A" w:tentative="1">
      <w:start w:val="1"/>
      <w:numFmt w:val="bullet"/>
      <w:lvlText w:val=""/>
      <w:lvlJc w:val="left"/>
      <w:pPr>
        <w:tabs>
          <w:tab w:val="num" w:pos="2880"/>
        </w:tabs>
        <w:ind w:left="2880" w:hanging="360"/>
      </w:pPr>
      <w:rPr>
        <w:rFonts w:ascii="Wingdings 2" w:hAnsi="Wingdings 2" w:hint="default"/>
      </w:rPr>
    </w:lvl>
    <w:lvl w:ilvl="4" w:tplc="BE2E5AA2" w:tentative="1">
      <w:start w:val="1"/>
      <w:numFmt w:val="bullet"/>
      <w:lvlText w:val=""/>
      <w:lvlJc w:val="left"/>
      <w:pPr>
        <w:tabs>
          <w:tab w:val="num" w:pos="3600"/>
        </w:tabs>
        <w:ind w:left="3600" w:hanging="360"/>
      </w:pPr>
      <w:rPr>
        <w:rFonts w:ascii="Wingdings 2" w:hAnsi="Wingdings 2" w:hint="default"/>
      </w:rPr>
    </w:lvl>
    <w:lvl w:ilvl="5" w:tplc="4AB2E340" w:tentative="1">
      <w:start w:val="1"/>
      <w:numFmt w:val="bullet"/>
      <w:lvlText w:val=""/>
      <w:lvlJc w:val="left"/>
      <w:pPr>
        <w:tabs>
          <w:tab w:val="num" w:pos="4320"/>
        </w:tabs>
        <w:ind w:left="4320" w:hanging="360"/>
      </w:pPr>
      <w:rPr>
        <w:rFonts w:ascii="Wingdings 2" w:hAnsi="Wingdings 2" w:hint="default"/>
      </w:rPr>
    </w:lvl>
    <w:lvl w:ilvl="6" w:tplc="94563BB0" w:tentative="1">
      <w:start w:val="1"/>
      <w:numFmt w:val="bullet"/>
      <w:lvlText w:val=""/>
      <w:lvlJc w:val="left"/>
      <w:pPr>
        <w:tabs>
          <w:tab w:val="num" w:pos="5040"/>
        </w:tabs>
        <w:ind w:left="5040" w:hanging="360"/>
      </w:pPr>
      <w:rPr>
        <w:rFonts w:ascii="Wingdings 2" w:hAnsi="Wingdings 2" w:hint="default"/>
      </w:rPr>
    </w:lvl>
    <w:lvl w:ilvl="7" w:tplc="35067D08" w:tentative="1">
      <w:start w:val="1"/>
      <w:numFmt w:val="bullet"/>
      <w:lvlText w:val=""/>
      <w:lvlJc w:val="left"/>
      <w:pPr>
        <w:tabs>
          <w:tab w:val="num" w:pos="5760"/>
        </w:tabs>
        <w:ind w:left="5760" w:hanging="360"/>
      </w:pPr>
      <w:rPr>
        <w:rFonts w:ascii="Wingdings 2" w:hAnsi="Wingdings 2" w:hint="default"/>
      </w:rPr>
    </w:lvl>
    <w:lvl w:ilvl="8" w:tplc="420ACE3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CAA"/>
    <w:rsid w:val="00021694"/>
    <w:rsid w:val="0003482B"/>
    <w:rsid w:val="000B78C0"/>
    <w:rsid w:val="00146EDE"/>
    <w:rsid w:val="001D47C5"/>
    <w:rsid w:val="0025301A"/>
    <w:rsid w:val="00291A02"/>
    <w:rsid w:val="002E62A4"/>
    <w:rsid w:val="003D7359"/>
    <w:rsid w:val="004418DF"/>
    <w:rsid w:val="00445EBC"/>
    <w:rsid w:val="00552CAA"/>
    <w:rsid w:val="006508C1"/>
    <w:rsid w:val="006F6341"/>
    <w:rsid w:val="0073565E"/>
    <w:rsid w:val="00756238"/>
    <w:rsid w:val="00835588"/>
    <w:rsid w:val="009B6934"/>
    <w:rsid w:val="00A55924"/>
    <w:rsid w:val="00AD77D0"/>
    <w:rsid w:val="00AE408F"/>
    <w:rsid w:val="00C219B6"/>
    <w:rsid w:val="00CB0983"/>
    <w:rsid w:val="00DF55DA"/>
    <w:rsid w:val="00DF5E4F"/>
    <w:rsid w:val="00FE6D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CAA"/>
    <w:rPr>
      <w:rFonts w:ascii="Tahoma" w:hAnsi="Tahoma" w:cs="Tahoma"/>
      <w:sz w:val="16"/>
      <w:szCs w:val="16"/>
    </w:rPr>
  </w:style>
  <w:style w:type="character" w:styleId="CommentReference">
    <w:name w:val="annotation reference"/>
    <w:basedOn w:val="DefaultParagraphFont"/>
    <w:uiPriority w:val="99"/>
    <w:semiHidden/>
    <w:rsid w:val="00552CAA"/>
    <w:rPr>
      <w:rFonts w:cs="Times New Roman"/>
      <w:sz w:val="16"/>
      <w:szCs w:val="16"/>
    </w:rPr>
  </w:style>
  <w:style w:type="paragraph" w:styleId="CommentText">
    <w:name w:val="annotation text"/>
    <w:basedOn w:val="Normal"/>
    <w:link w:val="CommentTextChar"/>
    <w:uiPriority w:val="99"/>
    <w:semiHidden/>
    <w:rsid w:val="00552CAA"/>
    <w:rPr>
      <w:sz w:val="20"/>
      <w:szCs w:val="20"/>
    </w:rPr>
  </w:style>
  <w:style w:type="character" w:customStyle="1" w:styleId="CommentTextChar">
    <w:name w:val="Comment Text Char"/>
    <w:basedOn w:val="DefaultParagraphFont"/>
    <w:link w:val="CommentText"/>
    <w:uiPriority w:val="99"/>
    <w:semiHidden/>
    <w:locked/>
    <w:rsid w:val="00552CAA"/>
    <w:rPr>
      <w:rFonts w:ascii="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1565</Words>
  <Characters>8926</Characters>
  <Application>Microsoft Office Outlook</Application>
  <DocSecurity>0</DocSecurity>
  <Lines>0</Lines>
  <Paragraphs>0</Paragraphs>
  <ScaleCrop>false</ScaleCrop>
  <Company>Tameside Acute Services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file 1:  </dc:title>
  <dc:subject/>
  <dc:creator>rachel.edmiston</dc:creator>
  <cp:keywords/>
  <dc:description/>
  <cp:lastModifiedBy>do01cn</cp:lastModifiedBy>
  <cp:revision>3</cp:revision>
  <dcterms:created xsi:type="dcterms:W3CDTF">2013-11-06T16:36:00Z</dcterms:created>
  <dcterms:modified xsi:type="dcterms:W3CDTF">2013-11-06T16:38:00Z</dcterms:modified>
</cp:coreProperties>
</file>