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7" w:rsidRDefault="00267548">
      <w:r w:rsidRPr="00267548">
        <w:t>Improvements to surgery, best practice tariff and mortality</w:t>
      </w:r>
      <w:r w:rsidR="004C2253" w:rsidRPr="004C2253">
        <w:rPr>
          <w:noProof/>
          <w:lang w:eastAsia="en-GB"/>
        </w:rPr>
        <w:drawing>
          <wp:inline distT="0" distB="0" distL="0" distR="0">
            <wp:extent cx="5583677" cy="3375498"/>
            <wp:effectExtent l="0" t="0" r="0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2253" w:rsidRDefault="004C2253" w:rsidP="004C2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Graph 1 - Graph demonstrating the improvements in proportion of patients operated on within 36 hours</w:t>
      </w:r>
    </w:p>
    <w:p w:rsidR="004C2253" w:rsidRDefault="004C2253"/>
    <w:p w:rsidR="004C2253" w:rsidRDefault="004C2253">
      <w:r w:rsidRPr="004C2253">
        <w:rPr>
          <w:noProof/>
          <w:lang w:eastAsia="en-GB"/>
        </w:rPr>
        <w:drawing>
          <wp:inline distT="0" distB="0" distL="0" distR="0">
            <wp:extent cx="5710136" cy="3287948"/>
            <wp:effectExtent l="0" t="0" r="5080" b="8255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2253" w:rsidRPr="00B34A99" w:rsidRDefault="004C2253" w:rsidP="004C2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99">
        <w:rPr>
          <w:rFonts w:ascii="Times New Roman" w:eastAsia="Times New Roman" w:hAnsi="Times New Roman" w:cs="Times New Roman"/>
          <w:b/>
          <w:sz w:val="24"/>
          <w:szCs w:val="24"/>
        </w:rPr>
        <w:t>Graph 2 - Graph demonstrating the improvements in the attainment of the Best Practice Tariff from 2010 - 2013</w:t>
      </w:r>
    </w:p>
    <w:p w:rsidR="004C2253" w:rsidRDefault="004C2253">
      <w:r w:rsidRPr="004C2253">
        <w:rPr>
          <w:noProof/>
          <w:lang w:eastAsia="en-GB"/>
        </w:rPr>
        <w:lastRenderedPageBreak/>
        <w:drawing>
          <wp:inline distT="0" distB="0" distL="0" distR="0">
            <wp:extent cx="5731510" cy="3290311"/>
            <wp:effectExtent l="19050" t="0" r="21590" b="5339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2253" w:rsidRPr="00B34A99" w:rsidRDefault="004C2253" w:rsidP="004C22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Graph 3 – Graph demonstrating reduction in mortality from 2010 to 2013</w:t>
      </w:r>
    </w:p>
    <w:p w:rsidR="004C2253" w:rsidRDefault="004C2253"/>
    <w:sectPr w:rsidR="004C2253" w:rsidSect="0006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2253"/>
    <w:rsid w:val="000620F7"/>
    <w:rsid w:val="00066CAD"/>
    <w:rsid w:val="00267548"/>
    <w:rsid w:val="004C2253"/>
    <w:rsid w:val="0085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Time</a:t>
            </a:r>
            <a:r>
              <a:rPr lang="en-US" baseline="0"/>
              <a:t> to Surgery within 36hrs</a:t>
            </a:r>
            <a:r>
              <a:rPr lang="en-US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7680169712665142"/>
          <c:y val="0.17711453989229747"/>
          <c:w val="0.70546290553697777"/>
          <c:h val="0.74743252699305407"/>
        </c:manualLayout>
      </c:layout>
      <c:lineChart>
        <c:grouping val="standard"/>
        <c:ser>
          <c:idx val="0"/>
          <c:order val="0"/>
          <c:tx>
            <c:strRef>
              <c:f>Sheet1!$A$18</c:f>
              <c:strCache>
                <c:ptCount val="1"/>
                <c:pt idx="0">
                  <c:v>Trust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3.1842816122780788E-2"/>
                  <c:y val="6.0198524780639806E-2"/>
                </c:manualLayout>
              </c:layout>
              <c:showVal val="1"/>
            </c:dLbl>
            <c:dLbl>
              <c:idx val="1"/>
              <c:layout>
                <c:manualLayout>
                  <c:x val="-5.9137950642556614E-2"/>
                  <c:y val="-5.6444026340545655E-2"/>
                </c:manualLayout>
              </c:layout>
              <c:showVal val="1"/>
            </c:dLbl>
            <c:dLbl>
              <c:idx val="2"/>
              <c:layout>
                <c:manualLayout>
                  <c:x val="-4.0940763586432456E-2"/>
                  <c:y val="-4.8911301384269787E-2"/>
                </c:manualLayout>
              </c:layout>
              <c:showVal val="1"/>
            </c:dLbl>
            <c:showVal val="1"/>
          </c:dLbls>
          <c:cat>
            <c:numRef>
              <c:f>Sheet1!$B$17:$E$17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Sheet1!$B$18:$E$18</c:f>
              <c:numCache>
                <c:formatCode>0.0%</c:formatCode>
                <c:ptCount val="4"/>
                <c:pt idx="0">
                  <c:v>0.39600000000000052</c:v>
                </c:pt>
                <c:pt idx="1">
                  <c:v>0.73000000000000065</c:v>
                </c:pt>
                <c:pt idx="2">
                  <c:v>0.88000000000000034</c:v>
                </c:pt>
                <c:pt idx="3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Sheet1!$A$19</c:f>
              <c:strCache>
                <c:ptCount val="1"/>
                <c:pt idx="0">
                  <c:v>National </c:v>
                </c:pt>
              </c:strCache>
            </c:strRef>
          </c:tx>
          <c:marker>
            <c:symbol val="square"/>
            <c:size val="5"/>
          </c:marker>
          <c:dLbls>
            <c:dLbl>
              <c:idx val="1"/>
              <c:layout>
                <c:manualLayout>
                  <c:x val="-2.9568329256867823E-2"/>
                  <c:y val="5.2673709183059775E-2"/>
                </c:manualLayout>
              </c:layout>
              <c:showVal val="1"/>
            </c:dLbl>
            <c:dLbl>
              <c:idx val="2"/>
              <c:layout>
                <c:manualLayout>
                  <c:x val="-1.3646921195477568E-2"/>
                  <c:y val="5.2673709183059775E-2"/>
                </c:manualLayout>
              </c:layout>
              <c:showVal val="1"/>
            </c:dLbl>
            <c:showVal val="1"/>
          </c:dLbls>
          <c:cat>
            <c:numRef>
              <c:f>Sheet1!$B$17:$E$17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Sheet1!$B$19:$E$19</c:f>
              <c:numCache>
                <c:formatCode>0.0%</c:formatCode>
                <c:ptCount val="4"/>
                <c:pt idx="1">
                  <c:v>0.61000000000000065</c:v>
                </c:pt>
                <c:pt idx="2">
                  <c:v>0.67000000000000104</c:v>
                </c:pt>
                <c:pt idx="3">
                  <c:v>0.71000000000000063</c:v>
                </c:pt>
              </c:numCache>
            </c:numRef>
          </c:val>
        </c:ser>
        <c:marker val="1"/>
        <c:axId val="67725952"/>
        <c:axId val="67727744"/>
      </c:lineChart>
      <c:catAx>
        <c:axId val="67725952"/>
        <c:scaling>
          <c:orientation val="minMax"/>
        </c:scaling>
        <c:axPos val="b"/>
        <c:numFmt formatCode="General" sourceLinked="1"/>
        <c:tickLblPos val="nextTo"/>
        <c:crossAx val="67727744"/>
        <c:crosses val="autoZero"/>
        <c:auto val="1"/>
        <c:lblAlgn val="ctr"/>
        <c:lblOffset val="100"/>
      </c:catAx>
      <c:valAx>
        <c:axId val="67727744"/>
        <c:scaling>
          <c:orientation val="minMax"/>
        </c:scaling>
        <c:axPos val="l"/>
        <c:numFmt formatCode="0.0%" sourceLinked="1"/>
        <c:tickLblPos val="nextTo"/>
        <c:crossAx val="6772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00677814995357"/>
          <c:y val="0.6822820571699465"/>
          <c:w val="0.15185656333631045"/>
          <c:h val="0.13607058869535688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Best Practice Tariff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Sheet1!$A$35</c:f>
              <c:strCache>
                <c:ptCount val="1"/>
                <c:pt idx="0">
                  <c:v>Trust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7.3395800029981834E-2"/>
                  <c:y val="-5.4076264564930886E-2"/>
                </c:manualLayout>
              </c:layout>
              <c:showVal val="1"/>
            </c:dLbl>
            <c:dLbl>
              <c:idx val="1"/>
              <c:layout>
                <c:manualLayout>
                  <c:x val="-5.1156399777518437E-2"/>
                  <c:y val="-5.7959840617965747E-2"/>
                </c:manualLayout>
              </c:layout>
              <c:showVal val="1"/>
            </c:dLbl>
            <c:dLbl>
              <c:idx val="2"/>
              <c:layout>
                <c:manualLayout>
                  <c:x val="-1.1120575762118494E-2"/>
                  <c:y val="-5.7938854890997413E-2"/>
                </c:manualLayout>
              </c:layout>
              <c:showVal val="1"/>
            </c:dLbl>
            <c:dLbl>
              <c:idx val="3"/>
              <c:layout>
                <c:manualLayout>
                  <c:x val="-4.4482303048473905E-3"/>
                  <c:y val="-5.4076264564930913E-2"/>
                </c:manualLayout>
              </c:layout>
              <c:showVal val="1"/>
            </c:dLbl>
            <c:showVal val="1"/>
          </c:dLbls>
          <c:cat>
            <c:numRef>
              <c:f>Sheet1!$B$34:$E$34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Sheet1!$B$35:$E$35</c:f>
              <c:numCache>
                <c:formatCode>0.0%</c:formatCode>
                <c:ptCount val="4"/>
                <c:pt idx="0">
                  <c:v>0.28000000000000008</c:v>
                </c:pt>
                <c:pt idx="1">
                  <c:v>0.73000000000000065</c:v>
                </c:pt>
                <c:pt idx="2">
                  <c:v>0.88</c:v>
                </c:pt>
                <c:pt idx="3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Sheet1!$A$36</c:f>
              <c:strCache>
                <c:ptCount val="1"/>
                <c:pt idx="0">
                  <c:v>National 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2.4465266676660612E-2"/>
                  <c:y val="5.7938854890997413E-2"/>
                </c:manualLayout>
              </c:layout>
              <c:showVal val="1"/>
            </c:dLbl>
            <c:dLbl>
              <c:idx val="1"/>
              <c:layout>
                <c:manualLayout>
                  <c:x val="-2.2241151524236939E-2"/>
                  <c:y val="5.4076264564930913E-2"/>
                </c:manualLayout>
              </c:layout>
              <c:showVal val="1"/>
            </c:dLbl>
            <c:dLbl>
              <c:idx val="2"/>
              <c:layout>
                <c:manualLayout>
                  <c:x val="-2.6689381829084292E-2"/>
                  <c:y val="5.0213674238864414E-2"/>
                </c:manualLayout>
              </c:layout>
              <c:showVal val="1"/>
            </c:dLbl>
            <c:dLbl>
              <c:idx val="3"/>
              <c:layout>
                <c:manualLayout>
                  <c:x val="-4.4482303048473905E-3"/>
                  <c:y val="5.0213674238864414E-2"/>
                </c:manualLayout>
              </c:layout>
              <c:showVal val="1"/>
            </c:dLbl>
            <c:showVal val="1"/>
          </c:dLbls>
          <c:cat>
            <c:numRef>
              <c:f>Sheet1!$B$34:$E$34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Sheet1!$B$36:$E$36</c:f>
              <c:numCache>
                <c:formatCode>0.0%</c:formatCode>
                <c:ptCount val="4"/>
                <c:pt idx="0">
                  <c:v>0.28000000000000008</c:v>
                </c:pt>
                <c:pt idx="1">
                  <c:v>0.31000000000000039</c:v>
                </c:pt>
                <c:pt idx="2">
                  <c:v>0.47000000000000008</c:v>
                </c:pt>
                <c:pt idx="3">
                  <c:v>0.55000000000000004</c:v>
                </c:pt>
              </c:numCache>
            </c:numRef>
          </c:val>
        </c:ser>
        <c:marker val="1"/>
        <c:axId val="78648832"/>
        <c:axId val="78650368"/>
      </c:lineChart>
      <c:catAx>
        <c:axId val="78648832"/>
        <c:scaling>
          <c:orientation val="minMax"/>
        </c:scaling>
        <c:axPos val="b"/>
        <c:numFmt formatCode="General" sourceLinked="1"/>
        <c:tickLblPos val="nextTo"/>
        <c:crossAx val="78650368"/>
        <c:crosses val="autoZero"/>
        <c:auto val="1"/>
        <c:lblAlgn val="ctr"/>
        <c:lblOffset val="100"/>
      </c:catAx>
      <c:valAx>
        <c:axId val="78650368"/>
        <c:scaling>
          <c:orientation val="minMax"/>
        </c:scaling>
        <c:axPos val="l"/>
        <c:numFmt formatCode="0.0%" sourceLinked="1"/>
        <c:tickLblPos val="nextTo"/>
        <c:crossAx val="7864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24832613443953"/>
          <c:y val="0.67935645092847186"/>
          <c:w val="0.14849348596951129"/>
          <c:h val="0.13969377262238555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Mortality at 30 days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Sheet1!$A$11</c:f>
              <c:strCache>
                <c:ptCount val="1"/>
                <c:pt idx="0">
                  <c:v>Trust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2.8572763631769596E-2"/>
                  <c:y val="-4.9771911398159632E-2"/>
                </c:manualLayout>
              </c:layout>
              <c:showVal val="1"/>
            </c:dLbl>
            <c:dLbl>
              <c:idx val="1"/>
              <c:layout>
                <c:manualLayout>
                  <c:x val="-3.0770668526521199E-2"/>
                  <c:y val="6.5086345674516419E-2"/>
                </c:manualLayout>
              </c:layout>
              <c:showVal val="1"/>
            </c:dLbl>
            <c:dLbl>
              <c:idx val="2"/>
              <c:layout>
                <c:manualLayout>
                  <c:x val="-3.5166478316024111E-2"/>
                  <c:y val="6.1257737105427285E-2"/>
                </c:manualLayout>
              </c:layout>
              <c:showVal val="1"/>
            </c:dLbl>
            <c:showVal val="1"/>
          </c:dLbls>
          <c:cat>
            <c:numRef>
              <c:f>Sheet1!$B$10:$E$10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Sheet1!$B$11:$E$11</c:f>
              <c:numCache>
                <c:formatCode>0.0%</c:formatCode>
                <c:ptCount val="4"/>
                <c:pt idx="0">
                  <c:v>7.8000000000000014E-2</c:v>
                </c:pt>
                <c:pt idx="1">
                  <c:v>6.0000000000000032E-2</c:v>
                </c:pt>
                <c:pt idx="2">
                  <c:v>7.0000000000000021E-2</c:v>
                </c:pt>
                <c:pt idx="3">
                  <c:v>5.3000000000000012E-2</c:v>
                </c:pt>
              </c:numCache>
            </c:numRef>
          </c:val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National 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3.0770495463143602E-2"/>
                  <c:y val="6.1258340035910575E-2"/>
                </c:manualLayout>
              </c:layout>
              <c:showVal val="1"/>
            </c:dLbl>
            <c:dLbl>
              <c:idx val="1"/>
              <c:layout>
                <c:manualLayout>
                  <c:x val="-2.4176953842266608E-2"/>
                  <c:y val="-3.8286085690892008E-2"/>
                </c:manualLayout>
              </c:layout>
              <c:showVal val="1"/>
            </c:dLbl>
            <c:dLbl>
              <c:idx val="2"/>
              <c:layout>
                <c:manualLayout>
                  <c:x val="-3.2968573421272601E-2"/>
                  <c:y val="-4.5943302829070415E-2"/>
                </c:manualLayout>
              </c:layout>
              <c:showVal val="1"/>
            </c:dLbl>
            <c:showVal val="1"/>
          </c:dLbls>
          <c:cat>
            <c:numRef>
              <c:f>Sheet1!$B$10:$E$10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Sheet1!$B$12:$E$12</c:f>
              <c:numCache>
                <c:formatCode>0.0%</c:formatCode>
                <c:ptCount val="4"/>
                <c:pt idx="0">
                  <c:v>7.6999999999999999E-2</c:v>
                </c:pt>
                <c:pt idx="1">
                  <c:v>8.4000000000000047E-2</c:v>
                </c:pt>
                <c:pt idx="2">
                  <c:v>8.1000000000000003E-2</c:v>
                </c:pt>
                <c:pt idx="3">
                  <c:v>8.2000000000000003E-2</c:v>
                </c:pt>
              </c:numCache>
            </c:numRef>
          </c:val>
        </c:ser>
        <c:marker val="1"/>
        <c:axId val="78721408"/>
        <c:axId val="78722944"/>
      </c:lineChart>
      <c:catAx>
        <c:axId val="78721408"/>
        <c:scaling>
          <c:orientation val="minMax"/>
        </c:scaling>
        <c:axPos val="b"/>
        <c:numFmt formatCode="General" sourceLinked="1"/>
        <c:tickLblPos val="nextTo"/>
        <c:crossAx val="78722944"/>
        <c:crosses val="autoZero"/>
        <c:auto val="1"/>
        <c:lblAlgn val="ctr"/>
        <c:lblOffset val="100"/>
      </c:catAx>
      <c:valAx>
        <c:axId val="78722944"/>
        <c:scaling>
          <c:orientation val="minMax"/>
        </c:scaling>
        <c:axPos val="l"/>
        <c:numFmt formatCode="0.0%" sourceLinked="1"/>
        <c:tickLblPos val="nextTo"/>
        <c:crossAx val="78721408"/>
        <c:crosses val="autoZero"/>
        <c:crossBetween val="between"/>
      </c:valAx>
      <c:spPr>
        <a:noFill/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>BMA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Radcliffe</dc:creator>
  <cp:lastModifiedBy>MRaymond</cp:lastModifiedBy>
  <cp:revision>3</cp:revision>
  <dcterms:created xsi:type="dcterms:W3CDTF">2014-08-29T08:47:00Z</dcterms:created>
  <dcterms:modified xsi:type="dcterms:W3CDTF">2014-08-29T08:47:00Z</dcterms:modified>
</cp:coreProperties>
</file>