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3330"/>
        <w:gridCol w:w="3330"/>
      </w:tblGrid>
      <w:tr w:rsidR="00C431A6" w:rsidRPr="007228AF" w:rsidTr="00C431A6">
        <w:trPr>
          <w:trHeight w:val="745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28AF" w:rsidRPr="007228AF" w:rsidRDefault="00C431A6" w:rsidP="00C431A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228A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Name of Medication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28AF" w:rsidRPr="007228AF" w:rsidRDefault="00C431A6" w:rsidP="00C431A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228A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Number of times prescribed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in the first quarter  (2012)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228A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Number of times prescribed in the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fourth </w:t>
            </w:r>
            <w:r w:rsidRPr="007228A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quarter 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after PDSA-4 (2013-2014)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CONCERTA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192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21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ADDERALL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171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23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RITALIN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98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bCs/>
                <w:smallCaps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VYVANSE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36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43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INTUNIV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27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21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FOCALIN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TRI-VI-SOL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23</w:t>
            </w:r>
          </w:p>
        </w:tc>
      </w:tr>
      <w:tr w:rsidR="00C431A6" w:rsidRPr="007228AF" w:rsidTr="00C431A6">
        <w:trPr>
          <w:trHeight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METADATE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8AF" w:rsidRPr="007228AF" w:rsidRDefault="00C431A6" w:rsidP="00C431A6">
            <w:pPr>
              <w:spacing w:after="0"/>
              <w:jc w:val="center"/>
              <w:rPr>
                <w:rFonts w:eastAsia="Times New Roman" w:cs="Arial"/>
                <w:smallCaps/>
                <w:color w:val="000000" w:themeColor="text1"/>
                <w:sz w:val="36"/>
                <w:szCs w:val="36"/>
              </w:rPr>
            </w:pPr>
            <w:r w:rsidRPr="007228AF"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1A6" w:rsidRPr="007228AF" w:rsidRDefault="00C431A6" w:rsidP="00C431A6">
            <w:pPr>
              <w:spacing w:after="0"/>
              <w:jc w:val="center"/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="Calibri" w:cs="Times New Roman"/>
                <w:smallCaps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</w:tr>
    </w:tbl>
    <w:p w:rsidR="00797F8E" w:rsidRPr="00C431A6" w:rsidRDefault="00C431A6" w:rsidP="00893C14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Table 1: </w:t>
      </w:r>
      <w:r w:rsidRPr="00C431A6">
        <w:rPr>
          <w:b/>
          <w:sz w:val="28"/>
          <w:szCs w:val="28"/>
          <w:u w:val="single"/>
        </w:rPr>
        <w:t>Comparison of number of prescriptions before and after</w:t>
      </w:r>
    </w:p>
    <w:p w:rsidR="00797F8E" w:rsidRDefault="00797F8E" w:rsidP="00893C14">
      <w:pPr>
        <w:ind w:firstLine="720"/>
      </w:pPr>
    </w:p>
    <w:p w:rsidR="00797F8E" w:rsidRPr="00C431A6" w:rsidRDefault="00C431A6" w:rsidP="00893C14">
      <w:pPr>
        <w:ind w:firstLine="720"/>
        <w:rPr>
          <w:b/>
          <w:sz w:val="28"/>
          <w:szCs w:val="28"/>
          <w:u w:val="single"/>
        </w:rPr>
      </w:pPr>
      <w:r w:rsidRPr="00C431A6">
        <w:rPr>
          <w:b/>
          <w:sz w:val="28"/>
          <w:szCs w:val="28"/>
          <w:u w:val="single"/>
        </w:rPr>
        <w:t>Table 2: Comparison among the overall health team and CHM-Pediatrics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615"/>
        <w:gridCol w:w="1599"/>
        <w:gridCol w:w="1626"/>
        <w:gridCol w:w="1534"/>
        <w:gridCol w:w="1398"/>
      </w:tblGrid>
      <w:tr w:rsidR="00C431A6" w:rsidTr="00C431A6">
        <w:tc>
          <w:tcPr>
            <w:tcW w:w="942" w:type="pct"/>
          </w:tcPr>
          <w:p w:rsidR="00C431A6" w:rsidRDefault="00C431A6" w:rsidP="00893C14">
            <w:r>
              <w:t xml:space="preserve">Avg. </w:t>
            </w:r>
            <w:r w:rsidR="00B4515D">
              <w:t xml:space="preserve">overall </w:t>
            </w:r>
            <w:bookmarkStart w:id="0" w:name="_GoBack"/>
            <w:bookmarkEnd w:id="0"/>
            <w:r>
              <w:t>Generic Rate</w:t>
            </w:r>
          </w:p>
        </w:tc>
        <w:tc>
          <w:tcPr>
            <w:tcW w:w="843" w:type="pct"/>
          </w:tcPr>
          <w:p w:rsidR="00C431A6" w:rsidRDefault="00C431A6" w:rsidP="00893C14">
            <w:r>
              <w:t>2010</w:t>
            </w:r>
          </w:p>
        </w:tc>
        <w:tc>
          <w:tcPr>
            <w:tcW w:w="835" w:type="pct"/>
          </w:tcPr>
          <w:p w:rsidR="00C431A6" w:rsidRDefault="00C431A6" w:rsidP="00893C14">
            <w:r>
              <w:t>2011</w:t>
            </w:r>
          </w:p>
        </w:tc>
        <w:tc>
          <w:tcPr>
            <w:tcW w:w="849" w:type="pct"/>
          </w:tcPr>
          <w:p w:rsidR="00C431A6" w:rsidRDefault="00C431A6" w:rsidP="00893C14">
            <w:r>
              <w:t>2012</w:t>
            </w:r>
          </w:p>
        </w:tc>
        <w:tc>
          <w:tcPr>
            <w:tcW w:w="801" w:type="pct"/>
          </w:tcPr>
          <w:p w:rsidR="00C431A6" w:rsidRDefault="00C431A6" w:rsidP="00893C14">
            <w:r>
              <w:t>2013</w:t>
            </w:r>
          </w:p>
        </w:tc>
        <w:tc>
          <w:tcPr>
            <w:tcW w:w="730" w:type="pct"/>
          </w:tcPr>
          <w:p w:rsidR="00C431A6" w:rsidRDefault="00C431A6" w:rsidP="00893C14">
            <w:r>
              <w:t>2014</w:t>
            </w:r>
          </w:p>
        </w:tc>
      </w:tr>
      <w:tr w:rsidR="00C431A6" w:rsidTr="00C431A6">
        <w:tc>
          <w:tcPr>
            <w:tcW w:w="942" w:type="pct"/>
          </w:tcPr>
          <w:p w:rsidR="00C431A6" w:rsidRDefault="00C431A6" w:rsidP="00893C14">
            <w:r>
              <w:t>MSU Health Team (6 practices including Family Medicine, OB-GYN, Internal Medicine and Pediatrics</w:t>
            </w:r>
          </w:p>
        </w:tc>
        <w:tc>
          <w:tcPr>
            <w:tcW w:w="843" w:type="pct"/>
          </w:tcPr>
          <w:p w:rsidR="00C431A6" w:rsidRDefault="00C431A6" w:rsidP="00893C14">
            <w:r>
              <w:t>30.75 %</w:t>
            </w:r>
          </w:p>
        </w:tc>
        <w:tc>
          <w:tcPr>
            <w:tcW w:w="835" w:type="pct"/>
          </w:tcPr>
          <w:p w:rsidR="00C431A6" w:rsidRDefault="00C431A6" w:rsidP="00893C14">
            <w:r>
              <w:t>32%</w:t>
            </w:r>
          </w:p>
        </w:tc>
        <w:tc>
          <w:tcPr>
            <w:tcW w:w="849" w:type="pct"/>
          </w:tcPr>
          <w:p w:rsidR="00C431A6" w:rsidRDefault="00C431A6" w:rsidP="00893C14">
            <w:r>
              <w:t>33.9%</w:t>
            </w:r>
          </w:p>
        </w:tc>
        <w:tc>
          <w:tcPr>
            <w:tcW w:w="801" w:type="pct"/>
          </w:tcPr>
          <w:p w:rsidR="00C431A6" w:rsidRDefault="00C431A6" w:rsidP="00893C14">
            <w:r>
              <w:t>37.4%</w:t>
            </w:r>
          </w:p>
        </w:tc>
        <w:tc>
          <w:tcPr>
            <w:tcW w:w="730" w:type="pct"/>
          </w:tcPr>
          <w:p w:rsidR="00C431A6" w:rsidRDefault="00C431A6" w:rsidP="00C431A6">
            <w:r>
              <w:t>39.5%</w:t>
            </w:r>
          </w:p>
        </w:tc>
      </w:tr>
      <w:tr w:rsidR="00C431A6" w:rsidTr="00C431A6">
        <w:tc>
          <w:tcPr>
            <w:tcW w:w="942" w:type="pct"/>
          </w:tcPr>
          <w:p w:rsidR="00C431A6" w:rsidRPr="00C431A6" w:rsidRDefault="00C431A6" w:rsidP="00893C14">
            <w:pPr>
              <w:rPr>
                <w:b/>
              </w:rPr>
            </w:pPr>
            <w:r w:rsidRPr="00C431A6">
              <w:rPr>
                <w:b/>
              </w:rPr>
              <w:t>MSU-CHM Pediatrics alone</w:t>
            </w:r>
          </w:p>
        </w:tc>
        <w:tc>
          <w:tcPr>
            <w:tcW w:w="843" w:type="pct"/>
          </w:tcPr>
          <w:p w:rsidR="00C431A6" w:rsidRPr="00C431A6" w:rsidRDefault="00C431A6" w:rsidP="00893C14">
            <w:pPr>
              <w:rPr>
                <w:b/>
              </w:rPr>
            </w:pPr>
            <w:r w:rsidRPr="00C431A6">
              <w:rPr>
                <w:b/>
              </w:rPr>
              <w:t>21.25</w:t>
            </w:r>
          </w:p>
        </w:tc>
        <w:tc>
          <w:tcPr>
            <w:tcW w:w="835" w:type="pct"/>
          </w:tcPr>
          <w:p w:rsidR="00C431A6" w:rsidRPr="00C431A6" w:rsidRDefault="00C431A6" w:rsidP="00893C14">
            <w:pPr>
              <w:rPr>
                <w:b/>
              </w:rPr>
            </w:pPr>
            <w:r w:rsidRPr="00C431A6">
              <w:rPr>
                <w:b/>
              </w:rPr>
              <w:t>20.5</w:t>
            </w:r>
          </w:p>
        </w:tc>
        <w:tc>
          <w:tcPr>
            <w:tcW w:w="849" w:type="pct"/>
          </w:tcPr>
          <w:p w:rsidR="00C431A6" w:rsidRPr="00C431A6" w:rsidRDefault="00C431A6" w:rsidP="00893C14">
            <w:pPr>
              <w:rPr>
                <w:b/>
              </w:rPr>
            </w:pPr>
            <w:r w:rsidRPr="00C431A6">
              <w:rPr>
                <w:b/>
              </w:rPr>
              <w:t>22.5</w:t>
            </w:r>
          </w:p>
        </w:tc>
        <w:tc>
          <w:tcPr>
            <w:tcW w:w="801" w:type="pct"/>
          </w:tcPr>
          <w:p w:rsidR="00C431A6" w:rsidRPr="00C431A6" w:rsidRDefault="00C431A6" w:rsidP="00C431A6">
            <w:pPr>
              <w:rPr>
                <w:b/>
              </w:rPr>
            </w:pPr>
            <w:r w:rsidRPr="00C431A6">
              <w:rPr>
                <w:b/>
              </w:rPr>
              <w:t>52.3%</w:t>
            </w:r>
          </w:p>
        </w:tc>
        <w:tc>
          <w:tcPr>
            <w:tcW w:w="730" w:type="pct"/>
          </w:tcPr>
          <w:p w:rsidR="00C431A6" w:rsidRPr="00C431A6" w:rsidRDefault="00C431A6" w:rsidP="00C431A6">
            <w:pPr>
              <w:rPr>
                <w:b/>
              </w:rPr>
            </w:pPr>
            <w:r w:rsidRPr="00C431A6">
              <w:rPr>
                <w:b/>
              </w:rPr>
              <w:t>65.5%</w:t>
            </w:r>
          </w:p>
        </w:tc>
      </w:tr>
    </w:tbl>
    <w:p w:rsidR="00797F8E" w:rsidRDefault="00797F8E" w:rsidP="00C431A6">
      <w:pPr>
        <w:ind w:firstLine="720"/>
      </w:pPr>
    </w:p>
    <w:sectPr w:rsidR="0079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0"/>
    <w:rsid w:val="00797F8E"/>
    <w:rsid w:val="00893C14"/>
    <w:rsid w:val="00AB78A7"/>
    <w:rsid w:val="00B4515D"/>
    <w:rsid w:val="00BA44C5"/>
    <w:rsid w:val="00C22370"/>
    <w:rsid w:val="00C431A6"/>
    <w:rsid w:val="00C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237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4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237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4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Sathyan Sudhanthar</dc:creator>
  <cp:lastModifiedBy>Sathyan Sudhanthar</cp:lastModifiedBy>
  <cp:revision>2</cp:revision>
  <dcterms:created xsi:type="dcterms:W3CDTF">2015-11-10T21:43:00Z</dcterms:created>
  <dcterms:modified xsi:type="dcterms:W3CDTF">2015-11-10T21:43:00Z</dcterms:modified>
</cp:coreProperties>
</file>