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2" w:rsidRDefault="00C14609">
      <w:r w:rsidRPr="00C14609">
        <w:rPr>
          <w:noProof/>
          <w:lang w:eastAsia="en-GB"/>
        </w:rPr>
        <w:drawing>
          <wp:inline distT="0" distB="0" distL="0" distR="0">
            <wp:extent cx="6559550" cy="3467100"/>
            <wp:effectExtent l="19050" t="0" r="1270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4609" w:rsidRDefault="001D3DEF">
      <w:r w:rsidRPr="001D3DEF">
        <w:lastRenderedPageBreak/>
        <w:drawing>
          <wp:inline distT="0" distB="0" distL="0" distR="0">
            <wp:extent cx="7778750" cy="3031490"/>
            <wp:effectExtent l="19050" t="0" r="1270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4358" w:rsidRDefault="001C13F2">
      <w:r w:rsidRPr="001C13F2">
        <w:rPr>
          <w:noProof/>
          <w:lang w:eastAsia="en-GB"/>
        </w:rPr>
        <w:lastRenderedPageBreak/>
        <w:drawing>
          <wp:inline distT="0" distB="0" distL="0" distR="0">
            <wp:extent cx="7689850" cy="2730500"/>
            <wp:effectExtent l="19050" t="0" r="2540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4BF7" w:rsidRDefault="001C13F2">
      <w:r w:rsidRPr="001C13F2">
        <w:rPr>
          <w:noProof/>
          <w:lang w:eastAsia="en-GB"/>
        </w:rPr>
        <w:drawing>
          <wp:inline distT="0" distB="0" distL="0" distR="0">
            <wp:extent cx="7689850" cy="2844800"/>
            <wp:effectExtent l="19050" t="0" r="2540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0109" w:rsidRDefault="004244D5">
      <w:r w:rsidRPr="004244D5">
        <w:rPr>
          <w:noProof/>
          <w:lang w:eastAsia="en-GB"/>
        </w:rPr>
        <w:lastRenderedPageBreak/>
        <w:drawing>
          <wp:inline distT="0" distB="0" distL="0" distR="0">
            <wp:extent cx="7689850" cy="2933700"/>
            <wp:effectExtent l="19050" t="0" r="2540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533B" w:rsidRDefault="009B533B"/>
    <w:sectPr w:rsidR="009B533B" w:rsidSect="007A4B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BF7"/>
    <w:rsid w:val="0012084F"/>
    <w:rsid w:val="0015138A"/>
    <w:rsid w:val="0019665D"/>
    <w:rsid w:val="001C13F2"/>
    <w:rsid w:val="001D3DEF"/>
    <w:rsid w:val="001E4A98"/>
    <w:rsid w:val="002E2F1D"/>
    <w:rsid w:val="003031CD"/>
    <w:rsid w:val="00355424"/>
    <w:rsid w:val="004244D5"/>
    <w:rsid w:val="00494D4C"/>
    <w:rsid w:val="00605CE1"/>
    <w:rsid w:val="00697F82"/>
    <w:rsid w:val="006F4577"/>
    <w:rsid w:val="007A4BF7"/>
    <w:rsid w:val="008528A2"/>
    <w:rsid w:val="00870CEE"/>
    <w:rsid w:val="009A1D7A"/>
    <w:rsid w:val="009B533B"/>
    <w:rsid w:val="00AC06EE"/>
    <w:rsid w:val="00BB15E7"/>
    <w:rsid w:val="00C14609"/>
    <w:rsid w:val="00C804C1"/>
    <w:rsid w:val="00D85763"/>
    <w:rsid w:val="00E75C2B"/>
    <w:rsid w:val="00EE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ason\Documents\TOS%20Study\TOS%20study%202013-2014\TOS%20Study%20Post-Intervention%20Master%20Spreadsheet%20251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Jason\Documents\TOS%20Study\TOS%20study%202013-2014\TOS%20Study%20Post-Intervention%20Master%20Spreadsheet%20311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Jason\Documents\TOS%20Study\TOS%20study%202013-2014\TOS%20Study%20Post-Intervention%20Master%20Spreadsheet%20251015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Jason\Documents\TOS%20Study\TOS%20study%202013-2014\TOS%20Study%20Post-Intervention%20Master%20Spreadsheet%20311015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Jason\Documents\TOS%20Study\TOS%20study%202013-2014\TOS%20Study%20Post-Intervention%20Master%20Spreadsheet%20311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8"/>
  <c:chart>
    <c:title>
      <c:tx>
        <c:rich>
          <a:bodyPr/>
          <a:lstStyle/>
          <a:p>
            <a:pPr>
              <a:defRPr/>
            </a:pPr>
            <a:r>
              <a:rPr lang="en-GB" sz="1200"/>
              <a:t>Figure 1: Overall patient recall of examination elements pre and post-intervention</a:t>
            </a:r>
          </a:p>
        </c:rich>
      </c:tx>
    </c:title>
    <c:plotArea>
      <c:layout>
        <c:manualLayout>
          <c:layoutTarget val="inner"/>
          <c:xMode val="edge"/>
          <c:yMode val="edge"/>
          <c:x val="9.1063623554445833E-2"/>
          <c:y val="0.12918710795300267"/>
          <c:w val="0.80516649333595258"/>
          <c:h val="0.67033659254131694"/>
        </c:manualLayout>
      </c:layout>
      <c:barChart>
        <c:barDir val="col"/>
        <c:grouping val="clustered"/>
        <c:ser>
          <c:idx val="0"/>
          <c:order val="0"/>
          <c:tx>
            <c:strRef>
              <c:f>Summary!$A$49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Summary!$B$48:$D$48</c:f>
              <c:strCache>
                <c:ptCount val="3"/>
                <c:pt idx="0">
                  <c:v>T</c:v>
                </c:pt>
                <c:pt idx="1">
                  <c:v>O</c:v>
                </c:pt>
                <c:pt idx="2">
                  <c:v>S</c:v>
                </c:pt>
              </c:strCache>
            </c:strRef>
          </c:cat>
          <c:val>
            <c:numRef>
              <c:f>Summary!$B$49:$D$49</c:f>
              <c:numCache>
                <c:formatCode>General</c:formatCode>
                <c:ptCount val="3"/>
                <c:pt idx="0">
                  <c:v>64.86</c:v>
                </c:pt>
                <c:pt idx="1">
                  <c:v>29.24</c:v>
                </c:pt>
                <c:pt idx="2" formatCode="0.00">
                  <c:v>78.86999999999999</c:v>
                </c:pt>
              </c:numCache>
            </c:numRef>
          </c:val>
        </c:ser>
        <c:ser>
          <c:idx val="1"/>
          <c:order val="1"/>
          <c:tx>
            <c:strRef>
              <c:f>Summary!$A$50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Summary!$B$48:$D$48</c:f>
              <c:strCache>
                <c:ptCount val="3"/>
                <c:pt idx="0">
                  <c:v>T</c:v>
                </c:pt>
                <c:pt idx="1">
                  <c:v>O</c:v>
                </c:pt>
                <c:pt idx="2">
                  <c:v>S</c:v>
                </c:pt>
              </c:strCache>
            </c:strRef>
          </c:cat>
          <c:val>
            <c:numRef>
              <c:f>Summary!$B$50:$D$50</c:f>
              <c:numCache>
                <c:formatCode>General</c:formatCode>
                <c:ptCount val="3"/>
                <c:pt idx="0">
                  <c:v>76.209999999999994</c:v>
                </c:pt>
                <c:pt idx="1">
                  <c:v>38.11</c:v>
                </c:pt>
                <c:pt idx="2" formatCode="0.00">
                  <c:v>84.4</c:v>
                </c:pt>
              </c:numCache>
            </c:numRef>
          </c:val>
        </c:ser>
        <c:axId val="113617536"/>
        <c:axId val="115400064"/>
      </c:barChart>
      <c:catAx>
        <c:axId val="113617536"/>
        <c:scaling>
          <c:orientation val="minMax"/>
        </c:scaling>
        <c:axPos val="b"/>
        <c:majorTickMark val="none"/>
        <c:tickLblPos val="nextTo"/>
        <c:crossAx val="115400064"/>
        <c:crosses val="autoZero"/>
        <c:auto val="1"/>
        <c:lblAlgn val="ctr"/>
        <c:lblOffset val="100"/>
      </c:catAx>
      <c:valAx>
        <c:axId val="11540006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crossAx val="11361753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2a: Patient recall of examination elements pre and post-intervention by centre</a:t>
            </a:r>
          </a:p>
        </c:rich>
      </c:tx>
    </c:title>
    <c:plotArea>
      <c:layout>
        <c:manualLayout>
          <c:layoutTarget val="inner"/>
          <c:xMode val="edge"/>
          <c:yMode val="edge"/>
          <c:x val="8.6162513747478214E-2"/>
          <c:y val="0.11701185079137835"/>
          <c:w val="0.82526081412060004"/>
          <c:h val="0.61345396219411963"/>
        </c:manualLayout>
      </c:layout>
      <c:barChart>
        <c:barDir val="col"/>
        <c:grouping val="clustered"/>
        <c:ser>
          <c:idx val="0"/>
          <c:order val="0"/>
          <c:tx>
            <c:strRef>
              <c:f>Summary!$B$35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Summary!$B$36:$B$45</c:f>
              <c:numCache>
                <c:formatCode>General</c:formatCode>
                <c:ptCount val="10"/>
                <c:pt idx="0">
                  <c:v>83.33</c:v>
                </c:pt>
                <c:pt idx="1">
                  <c:v>57.14</c:v>
                </c:pt>
                <c:pt idx="2">
                  <c:v>60</c:v>
                </c:pt>
                <c:pt idx="3">
                  <c:v>54.55</c:v>
                </c:pt>
                <c:pt idx="4">
                  <c:v>77.08</c:v>
                </c:pt>
                <c:pt idx="5">
                  <c:v>67.5</c:v>
                </c:pt>
                <c:pt idx="6">
                  <c:v>84.09</c:v>
                </c:pt>
                <c:pt idx="7">
                  <c:v>30.95</c:v>
                </c:pt>
                <c:pt idx="8">
                  <c:v>79.73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Summary!$C$35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Summary!$C$36:$C$45</c:f>
              <c:numCache>
                <c:formatCode>General</c:formatCode>
                <c:ptCount val="10"/>
                <c:pt idx="0">
                  <c:v>85.710000000000022</c:v>
                </c:pt>
                <c:pt idx="1">
                  <c:v>60</c:v>
                </c:pt>
                <c:pt idx="2">
                  <c:v>82.81</c:v>
                </c:pt>
                <c:pt idx="3">
                  <c:v>100</c:v>
                </c:pt>
                <c:pt idx="4">
                  <c:v>73.679999999999978</c:v>
                </c:pt>
                <c:pt idx="5">
                  <c:v>88.36999999999999</c:v>
                </c:pt>
                <c:pt idx="6">
                  <c:v>75</c:v>
                </c:pt>
                <c:pt idx="7">
                  <c:v>56.6</c:v>
                </c:pt>
                <c:pt idx="8">
                  <c:v>92.86</c:v>
                </c:pt>
                <c:pt idx="9">
                  <c:v>30</c:v>
                </c:pt>
              </c:numCache>
            </c:numRef>
          </c:val>
        </c:ser>
        <c:ser>
          <c:idx val="2"/>
          <c:order val="2"/>
          <c:tx>
            <c:strRef>
              <c:f>Summary!$D$35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Summary!$D$36:$D$45</c:f>
              <c:numCache>
                <c:formatCode>0.00</c:formatCode>
                <c:ptCount val="10"/>
                <c:pt idx="0">
                  <c:v>53.7</c:v>
                </c:pt>
                <c:pt idx="1">
                  <c:v>35.71</c:v>
                </c:pt>
                <c:pt idx="2">
                  <c:v>42.5</c:v>
                </c:pt>
                <c:pt idx="3">
                  <c:v>54.55</c:v>
                </c:pt>
                <c:pt idx="4">
                  <c:v>33.33</c:v>
                </c:pt>
                <c:pt idx="5">
                  <c:v>25</c:v>
                </c:pt>
                <c:pt idx="6">
                  <c:v>36.36</c:v>
                </c:pt>
                <c:pt idx="7">
                  <c:v>19.05</c:v>
                </c:pt>
                <c:pt idx="8">
                  <c:v>16.22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Summary!$E$35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Summary!$E$36:$E$45</c:f>
              <c:numCache>
                <c:formatCode>General</c:formatCode>
                <c:ptCount val="10"/>
                <c:pt idx="0">
                  <c:v>66.069999999999993</c:v>
                </c:pt>
                <c:pt idx="1">
                  <c:v>40</c:v>
                </c:pt>
                <c:pt idx="2">
                  <c:v>45.309999999999995</c:v>
                </c:pt>
                <c:pt idx="3">
                  <c:v>42.86</c:v>
                </c:pt>
                <c:pt idx="4">
                  <c:v>21.05</c:v>
                </c:pt>
                <c:pt idx="5">
                  <c:v>62.790000000000013</c:v>
                </c:pt>
                <c:pt idx="6">
                  <c:v>45</c:v>
                </c:pt>
                <c:pt idx="7">
                  <c:v>28.3</c:v>
                </c:pt>
                <c:pt idx="8">
                  <c:v>27.38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Summary!$F$35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Summary!$F$36:$F$45</c:f>
              <c:numCache>
                <c:formatCode>0.00</c:formatCode>
                <c:ptCount val="10"/>
                <c:pt idx="0">
                  <c:v>94.440000000000026</c:v>
                </c:pt>
                <c:pt idx="1">
                  <c:v>92.86</c:v>
                </c:pt>
                <c:pt idx="2">
                  <c:v>87.5</c:v>
                </c:pt>
                <c:pt idx="3">
                  <c:v>72.73</c:v>
                </c:pt>
                <c:pt idx="4">
                  <c:v>100</c:v>
                </c:pt>
                <c:pt idx="5">
                  <c:v>82.5</c:v>
                </c:pt>
                <c:pt idx="6">
                  <c:v>34.090000000000003</c:v>
                </c:pt>
                <c:pt idx="7">
                  <c:v>45.24</c:v>
                </c:pt>
                <c:pt idx="8">
                  <c:v>90.54</c:v>
                </c:pt>
                <c:pt idx="9">
                  <c:v>80</c:v>
                </c:pt>
              </c:numCache>
            </c:numRef>
          </c:val>
        </c:ser>
        <c:ser>
          <c:idx val="5"/>
          <c:order val="5"/>
          <c:tx>
            <c:strRef>
              <c:f>Summary!$G$35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Summary!$G$36:$G$45</c:f>
              <c:numCache>
                <c:formatCode>General</c:formatCode>
                <c:ptCount val="10"/>
                <c:pt idx="0">
                  <c:v>91.07</c:v>
                </c:pt>
                <c:pt idx="1">
                  <c:v>80</c:v>
                </c:pt>
                <c:pt idx="2">
                  <c:v>82.81</c:v>
                </c:pt>
                <c:pt idx="3">
                  <c:v>71.430000000000007</c:v>
                </c:pt>
                <c:pt idx="4">
                  <c:v>94.740000000000023</c:v>
                </c:pt>
                <c:pt idx="5">
                  <c:v>88.36999999999999</c:v>
                </c:pt>
                <c:pt idx="6">
                  <c:v>75</c:v>
                </c:pt>
                <c:pt idx="7">
                  <c:v>67.92</c:v>
                </c:pt>
                <c:pt idx="8">
                  <c:v>92.86</c:v>
                </c:pt>
                <c:pt idx="9">
                  <c:v>80</c:v>
                </c:pt>
              </c:numCache>
            </c:numRef>
          </c:val>
        </c:ser>
        <c:axId val="123366016"/>
        <c:axId val="77750656"/>
      </c:barChart>
      <c:catAx>
        <c:axId val="123366016"/>
        <c:scaling>
          <c:orientation val="minMax"/>
        </c:scaling>
        <c:axPos val="b"/>
        <c:tickLblPos val="nextTo"/>
        <c:crossAx val="77750656"/>
        <c:crosses val="autoZero"/>
        <c:auto val="1"/>
        <c:lblAlgn val="ctr"/>
        <c:lblOffset val="100"/>
      </c:catAx>
      <c:valAx>
        <c:axId val="77750656"/>
        <c:scaling>
          <c:orientation val="minMax"/>
          <c:max val="1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General" sourceLinked="1"/>
        <c:tickLblPos val="nextTo"/>
        <c:crossAx val="123366016"/>
        <c:crosses val="autoZero"/>
        <c:crossBetween val="between"/>
        <c:majorUnit val="10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2b: Patient recall of examination with a tendon hammer pre and post-intervention by centre</a:t>
            </a:r>
          </a:p>
        </c:rich>
      </c:tx>
    </c:title>
    <c:plotArea>
      <c:layout>
        <c:manualLayout>
          <c:layoutTarget val="inner"/>
          <c:xMode val="edge"/>
          <c:yMode val="edge"/>
          <c:x val="9.467983168770569E-2"/>
          <c:y val="0.16888862377051325"/>
          <c:w val="0.80909969587134944"/>
          <c:h val="0.55131127548450465"/>
        </c:manualLayout>
      </c:layout>
      <c:barChart>
        <c:barDir val="col"/>
        <c:grouping val="clustered"/>
        <c:ser>
          <c:idx val="0"/>
          <c:order val="0"/>
          <c:tx>
            <c:strRef>
              <c:f>Summary!$B$35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Summary!$B$36:$B$45</c:f>
              <c:numCache>
                <c:formatCode>General</c:formatCode>
                <c:ptCount val="10"/>
                <c:pt idx="0">
                  <c:v>83.33</c:v>
                </c:pt>
                <c:pt idx="1">
                  <c:v>57.14</c:v>
                </c:pt>
                <c:pt idx="2">
                  <c:v>60</c:v>
                </c:pt>
                <c:pt idx="3">
                  <c:v>54.55</c:v>
                </c:pt>
                <c:pt idx="4">
                  <c:v>77.08</c:v>
                </c:pt>
                <c:pt idx="5">
                  <c:v>67.5</c:v>
                </c:pt>
                <c:pt idx="6">
                  <c:v>84.09</c:v>
                </c:pt>
                <c:pt idx="7">
                  <c:v>30.95</c:v>
                </c:pt>
                <c:pt idx="8">
                  <c:v>79.73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Summary!$C$35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Summary!$A$36:$A$45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Summary!$C$36:$C$45</c:f>
              <c:numCache>
                <c:formatCode>General</c:formatCode>
                <c:ptCount val="10"/>
                <c:pt idx="0">
                  <c:v>85.710000000000022</c:v>
                </c:pt>
                <c:pt idx="1">
                  <c:v>60</c:v>
                </c:pt>
                <c:pt idx="2">
                  <c:v>82.81</c:v>
                </c:pt>
                <c:pt idx="3">
                  <c:v>100</c:v>
                </c:pt>
                <c:pt idx="4">
                  <c:v>73.679999999999978</c:v>
                </c:pt>
                <c:pt idx="5">
                  <c:v>88.36999999999999</c:v>
                </c:pt>
                <c:pt idx="6">
                  <c:v>75</c:v>
                </c:pt>
                <c:pt idx="7">
                  <c:v>56.6</c:v>
                </c:pt>
                <c:pt idx="8">
                  <c:v>92.86</c:v>
                </c:pt>
                <c:pt idx="9">
                  <c:v>30</c:v>
                </c:pt>
              </c:numCache>
            </c:numRef>
          </c:val>
        </c:ser>
        <c:axId val="77848960"/>
        <c:axId val="77850496"/>
      </c:barChart>
      <c:catAx>
        <c:axId val="77848960"/>
        <c:scaling>
          <c:orientation val="minMax"/>
        </c:scaling>
        <c:axPos val="b"/>
        <c:majorTickMark val="none"/>
        <c:tickLblPos val="nextTo"/>
        <c:crossAx val="77850496"/>
        <c:crosses val="autoZero"/>
        <c:auto val="1"/>
        <c:lblAlgn val="ctr"/>
        <c:lblOffset val="100"/>
      </c:catAx>
      <c:valAx>
        <c:axId val="77850496"/>
        <c:scaling>
          <c:orientation val="minMax"/>
          <c:max val="1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"/>
          <a:lstStyle/>
          <a:p>
            <a:pPr>
              <a:defRPr/>
            </a:pPr>
            <a:endParaRPr lang="en-US"/>
          </a:p>
        </c:txPr>
        <c:crossAx val="77848960"/>
        <c:crosses val="autoZero"/>
        <c:crossBetween val="between"/>
        <c:majorUnit val="10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2c: Patient recall of examination with an ophthalmoscope pre and post-intervention by centre</a:t>
            </a:r>
          </a:p>
        </c:rich>
      </c:tx>
    </c:title>
    <c:plotArea>
      <c:layout>
        <c:manualLayout>
          <c:layoutTarget val="inner"/>
          <c:xMode val="edge"/>
          <c:yMode val="edge"/>
          <c:x val="8.7410717159946139E-2"/>
          <c:y val="0.20248971914947891"/>
          <c:w val="0.8233709543461607"/>
          <c:h val="0.52923773470623747"/>
        </c:manualLayout>
      </c:layout>
      <c:barChart>
        <c:barDir val="col"/>
        <c:grouping val="clustered"/>
        <c:ser>
          <c:idx val="0"/>
          <c:order val="0"/>
          <c:tx>
            <c:strRef>
              <c:f>Summary!$B$51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Summary!$A$52:$A$61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Summary!$B$52:$B$61</c:f>
              <c:numCache>
                <c:formatCode>0.00</c:formatCode>
                <c:ptCount val="10"/>
                <c:pt idx="0">
                  <c:v>53.7</c:v>
                </c:pt>
                <c:pt idx="1">
                  <c:v>35.71</c:v>
                </c:pt>
                <c:pt idx="2">
                  <c:v>42.5</c:v>
                </c:pt>
                <c:pt idx="3">
                  <c:v>54.55</c:v>
                </c:pt>
                <c:pt idx="4">
                  <c:v>33.33</c:v>
                </c:pt>
                <c:pt idx="5">
                  <c:v>25</c:v>
                </c:pt>
                <c:pt idx="6">
                  <c:v>36.36</c:v>
                </c:pt>
                <c:pt idx="7">
                  <c:v>19.05</c:v>
                </c:pt>
                <c:pt idx="8">
                  <c:v>16.22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Summary!$C$51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Summary!$A$52:$A$61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Summary!$C$52:$C$61</c:f>
              <c:numCache>
                <c:formatCode>General</c:formatCode>
                <c:ptCount val="10"/>
                <c:pt idx="0">
                  <c:v>66.069999999999993</c:v>
                </c:pt>
                <c:pt idx="1">
                  <c:v>40</c:v>
                </c:pt>
                <c:pt idx="2">
                  <c:v>45.309999999999995</c:v>
                </c:pt>
                <c:pt idx="3">
                  <c:v>42.86</c:v>
                </c:pt>
                <c:pt idx="4">
                  <c:v>21.05</c:v>
                </c:pt>
                <c:pt idx="5">
                  <c:v>62.790000000000013</c:v>
                </c:pt>
                <c:pt idx="6">
                  <c:v>45</c:v>
                </c:pt>
                <c:pt idx="7">
                  <c:v>28.3</c:v>
                </c:pt>
                <c:pt idx="8">
                  <c:v>27.38</c:v>
                </c:pt>
                <c:pt idx="9">
                  <c:v>0</c:v>
                </c:pt>
              </c:numCache>
            </c:numRef>
          </c:val>
        </c:ser>
        <c:axId val="79145984"/>
        <c:axId val="81310464"/>
      </c:barChart>
      <c:catAx>
        <c:axId val="79145984"/>
        <c:scaling>
          <c:orientation val="minMax"/>
        </c:scaling>
        <c:axPos val="b"/>
        <c:majorTickMark val="none"/>
        <c:tickLblPos val="nextTo"/>
        <c:crossAx val="81310464"/>
        <c:crosses val="autoZero"/>
        <c:auto val="1"/>
        <c:lblAlgn val="ctr"/>
        <c:lblOffset val="100"/>
      </c:catAx>
      <c:valAx>
        <c:axId val="81310464"/>
        <c:scaling>
          <c:orientation val="minMax"/>
          <c:max val="1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0" sourceLinked="0"/>
        <c:tickLblPos val="nextTo"/>
        <c:crossAx val="79145984"/>
        <c:crosses val="autoZero"/>
        <c:crossBetween val="between"/>
        <c:majorUnit val="10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8"/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Figure</a:t>
            </a:r>
            <a:r>
              <a:rPr lang="en-GB" sz="1200" baseline="0"/>
              <a:t> 2d: Patient recall of examination with a stethoscope pre and post-intervention by centre</a:t>
            </a:r>
          </a:p>
        </c:rich>
      </c:tx>
    </c:title>
    <c:plotArea>
      <c:layout>
        <c:manualLayout>
          <c:layoutTarget val="inner"/>
          <c:xMode val="edge"/>
          <c:yMode val="edge"/>
          <c:x val="8.8669888486161655E-2"/>
          <c:y val="0.19027806147662504"/>
          <c:w val="0.82017581135691375"/>
          <c:h val="0.58664613053075476"/>
        </c:manualLayout>
      </c:layout>
      <c:barChart>
        <c:barDir val="col"/>
        <c:grouping val="clustered"/>
        <c:ser>
          <c:idx val="0"/>
          <c:order val="0"/>
          <c:tx>
            <c:strRef>
              <c:f>Summary!$B$62</c:f>
              <c:strCache>
                <c:ptCount val="1"/>
                <c:pt idx="0">
                  <c:v>Pre</c:v>
                </c:pt>
              </c:strCache>
            </c:strRef>
          </c:tx>
          <c:cat>
            <c:strRef>
              <c:f>Summary!$A$63:$A$72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Summary!$B$63:$B$72</c:f>
              <c:numCache>
                <c:formatCode>0.00</c:formatCode>
                <c:ptCount val="10"/>
                <c:pt idx="0">
                  <c:v>94.440000000000026</c:v>
                </c:pt>
                <c:pt idx="1">
                  <c:v>92.86</c:v>
                </c:pt>
                <c:pt idx="2">
                  <c:v>87.5</c:v>
                </c:pt>
                <c:pt idx="3">
                  <c:v>72.73</c:v>
                </c:pt>
                <c:pt idx="4">
                  <c:v>100</c:v>
                </c:pt>
                <c:pt idx="5">
                  <c:v>82.5</c:v>
                </c:pt>
                <c:pt idx="6">
                  <c:v>34.090000000000003</c:v>
                </c:pt>
                <c:pt idx="7">
                  <c:v>45.24</c:v>
                </c:pt>
                <c:pt idx="8">
                  <c:v>90.54</c:v>
                </c:pt>
                <c:pt idx="9">
                  <c:v>80</c:v>
                </c:pt>
              </c:numCache>
            </c:numRef>
          </c:val>
        </c:ser>
        <c:ser>
          <c:idx val="1"/>
          <c:order val="1"/>
          <c:tx>
            <c:strRef>
              <c:f>Summary!$C$62</c:f>
              <c:strCache>
                <c:ptCount val="1"/>
                <c:pt idx="0">
                  <c:v>Post</c:v>
                </c:pt>
              </c:strCache>
            </c:strRef>
          </c:tx>
          <c:cat>
            <c:strRef>
              <c:f>Summary!$A$63:$A$72</c:f>
              <c:strCache>
                <c:ptCount val="10"/>
                <c:pt idx="0">
                  <c:v>City</c:v>
                </c:pt>
                <c:pt idx="1">
                  <c:v>Sandwell</c:v>
                </c:pt>
                <c:pt idx="2">
                  <c:v>UHB</c:v>
                </c:pt>
                <c:pt idx="3">
                  <c:v>Worcester</c:v>
                </c:pt>
                <c:pt idx="4">
                  <c:v>Salford</c:v>
                </c:pt>
                <c:pt idx="5">
                  <c:v>NHNN</c:v>
                </c:pt>
                <c:pt idx="6">
                  <c:v>UCLH</c:v>
                </c:pt>
                <c:pt idx="7">
                  <c:v>Jordan</c:v>
                </c:pt>
                <c:pt idx="8">
                  <c:v>Sweden</c:v>
                </c:pt>
                <c:pt idx="9">
                  <c:v>UAE</c:v>
                </c:pt>
              </c:strCache>
            </c:strRef>
          </c:cat>
          <c:val>
            <c:numRef>
              <c:f>Summary!$C$63:$C$72</c:f>
              <c:numCache>
                <c:formatCode>General</c:formatCode>
                <c:ptCount val="10"/>
                <c:pt idx="0">
                  <c:v>91.07</c:v>
                </c:pt>
                <c:pt idx="1">
                  <c:v>80</c:v>
                </c:pt>
                <c:pt idx="2">
                  <c:v>82.81</c:v>
                </c:pt>
                <c:pt idx="3">
                  <c:v>71.430000000000007</c:v>
                </c:pt>
                <c:pt idx="4">
                  <c:v>94.740000000000023</c:v>
                </c:pt>
                <c:pt idx="5">
                  <c:v>88.36999999999999</c:v>
                </c:pt>
                <c:pt idx="6">
                  <c:v>75</c:v>
                </c:pt>
                <c:pt idx="7">
                  <c:v>67.92</c:v>
                </c:pt>
                <c:pt idx="8">
                  <c:v>92.86</c:v>
                </c:pt>
                <c:pt idx="9">
                  <c:v>80</c:v>
                </c:pt>
              </c:numCache>
            </c:numRef>
          </c:val>
        </c:ser>
        <c:axId val="81318656"/>
        <c:axId val="81320192"/>
      </c:barChart>
      <c:catAx>
        <c:axId val="81318656"/>
        <c:scaling>
          <c:orientation val="minMax"/>
        </c:scaling>
        <c:axPos val="b"/>
        <c:tickLblPos val="nextTo"/>
        <c:crossAx val="81320192"/>
        <c:crosses val="autoZero"/>
        <c:auto val="1"/>
        <c:lblAlgn val="ctr"/>
        <c:lblOffset val="100"/>
      </c:catAx>
      <c:valAx>
        <c:axId val="81320192"/>
        <c:scaling>
          <c:orientation val="minMax"/>
          <c:max val="10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0" sourceLinked="0"/>
        <c:tickLblPos val="nextTo"/>
        <c:crossAx val="81318656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0.00428</cdr:x>
      <cdr:y>0.86849</cdr:y>
    </cdr:from>
    <cdr:to>
      <cdr:x>0.99429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6" y="3019425"/>
          <a:ext cx="6610350" cy="457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 baseline="0">
              <a:latin typeface="+mn-lt"/>
              <a:ea typeface="+mn-ea"/>
              <a:cs typeface="+mn-cs"/>
            </a:rPr>
            <a:t>Patient recall of T=Tendon hammer; O=Ophthalmoscope; S=Stethoscope (% figures indicate the proportion of patients who did recall being examined). </a:t>
          </a:r>
          <a:endParaRPr lang="en-GB" sz="10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0.01253</cdr:x>
      <cdr:y>0.84499</cdr:y>
    </cdr:from>
    <cdr:to>
      <cdr:x>0.99374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468" y="2565400"/>
          <a:ext cx="7632587" cy="469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UHB = University</a:t>
          </a:r>
          <a:r>
            <a:rPr lang="en-GB" sz="1000" baseline="0"/>
            <a:t> Hospital Birmingham, NHNN = National Hospital of Neurology and Neurosurgery, UCLH = University College London Hospital, UAE = United Arab Emirates</a:t>
          </a:r>
          <a:endParaRPr lang="en-GB" sz="1000"/>
        </a:p>
      </cdr:txBody>
    </cdr:sp>
  </cdr:relSizeAnchor>
  <cdr:relSizeAnchor xmlns:cdr="http://schemas.openxmlformats.org/drawingml/2006/chartDrawing">
    <cdr:from>
      <cdr:x>0.09061</cdr:x>
      <cdr:y>0.09216</cdr:y>
    </cdr:from>
    <cdr:to>
      <cdr:x>0.19837</cdr:x>
      <cdr:y>0.18014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04833" y="279388"/>
          <a:ext cx="838238" cy="266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T   O   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0.83256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273300"/>
          <a:ext cx="768985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>
              <a:latin typeface="+mn-lt"/>
              <a:ea typeface="+mn-ea"/>
              <a:cs typeface="+mn-cs"/>
            </a:rPr>
            <a:t>UHB = University</a:t>
          </a:r>
          <a:r>
            <a:rPr lang="en-GB" sz="1000" baseline="0">
              <a:latin typeface="+mn-lt"/>
              <a:ea typeface="+mn-ea"/>
              <a:cs typeface="+mn-cs"/>
            </a:rPr>
            <a:t> Hospital Birmingham, NHNN = National Hospital of Neurology and Neurosurgery, UCLH = University College London Hospital, UAE = United Arab Emirates.</a:t>
          </a:r>
          <a:endParaRPr lang="en-GB" sz="10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0.85776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440152"/>
          <a:ext cx="7689850" cy="4046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UHB = UnIversity</a:t>
          </a:r>
          <a:r>
            <a:rPr lang="en-GB" sz="1000" baseline="0"/>
            <a:t> Hospital Birmingham, NHNN = National Hospital of Neurology and Neurosurgery, UCLH = University College London Hospital, UAE = United Arab Emirates.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0.00397</cdr:x>
      <cdr:y>0.86217</cdr:y>
    </cdr:from>
    <cdr:to>
      <cdr:x>0.99603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5" y="2800352"/>
          <a:ext cx="7143750" cy="447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/>
            <a:t>UHB = University</a:t>
          </a:r>
          <a:r>
            <a:rPr lang="en-GB" sz="1000" baseline="0"/>
            <a:t> Hospital Birmingham, NHNN = National Hospital of Neurology and Neurosurgery, UCLH = University College London Hospital, UAe = United Arab Emirates</a:t>
          </a:r>
          <a:endParaRPr lang="en-GB" sz="1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14</cp:revision>
  <dcterms:created xsi:type="dcterms:W3CDTF">2015-10-25T18:41:00Z</dcterms:created>
  <dcterms:modified xsi:type="dcterms:W3CDTF">2015-11-03T20:46:00Z</dcterms:modified>
</cp:coreProperties>
</file>