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EC" w:rsidRPr="00E424E0" w:rsidRDefault="001F25EC">
      <w:pPr>
        <w:rPr>
          <w:rFonts w:ascii="Times New Roman" w:hAnsi="Times New Roman" w:cs="Times New Roman"/>
        </w:rPr>
      </w:pPr>
    </w:p>
    <w:p w:rsidR="001F25EC" w:rsidRPr="00E424E0" w:rsidRDefault="00F274CC">
      <w:pPr>
        <w:rPr>
          <w:rFonts w:ascii="Times New Roman" w:hAnsi="Times New Roman" w:cs="Times New Roman"/>
        </w:rPr>
      </w:pPr>
      <w:r w:rsidRPr="00E424E0">
        <w:rPr>
          <w:rFonts w:ascii="Times New Roman" w:hAnsi="Times New Roman" w:cs="Times New Roman"/>
        </w:rPr>
        <w:t xml:space="preserve">Figure 1: </w:t>
      </w:r>
      <w:r w:rsidRPr="00E424E0">
        <w:rPr>
          <w:rFonts w:ascii="Times New Roman" w:hAnsi="Times New Roman" w:cs="Times New Roman"/>
          <w:iCs/>
        </w:rPr>
        <w:t xml:space="preserve">Changes in proportion of </w:t>
      </w:r>
      <w:r w:rsidR="0076683C" w:rsidRPr="00E424E0">
        <w:rPr>
          <w:rFonts w:ascii="Times New Roman" w:hAnsi="Times New Roman" w:cs="Times New Roman"/>
          <w:iCs/>
        </w:rPr>
        <w:t>referred &amp;</w:t>
      </w:r>
      <w:r w:rsidRPr="00E424E0">
        <w:rPr>
          <w:rFonts w:ascii="Times New Roman" w:hAnsi="Times New Roman" w:cs="Times New Roman"/>
          <w:iCs/>
        </w:rPr>
        <w:t xml:space="preserve"> follow-up patients in relation to the programme</w:t>
      </w:r>
    </w:p>
    <w:p w:rsidR="001F25EC" w:rsidRPr="00E424E0" w:rsidRDefault="001F25EC">
      <w:pPr>
        <w:rPr>
          <w:rFonts w:ascii="Times New Roman" w:hAnsi="Times New Roman" w:cs="Times New Roman"/>
        </w:rPr>
      </w:pPr>
    </w:p>
    <w:p w:rsidR="001F25EC" w:rsidRPr="00E424E0" w:rsidRDefault="00924C55">
      <w:pPr>
        <w:rPr>
          <w:rFonts w:ascii="Times New Roman" w:hAnsi="Times New Roman" w:cs="Times New Roman"/>
        </w:rPr>
      </w:pPr>
      <w:r w:rsidRPr="00924C55">
        <w:rPr>
          <w:rFonts w:ascii="Times New Roman" w:hAnsi="Times New Roman" w:cs="Times New Roman"/>
        </w:rPr>
        <w:drawing>
          <wp:inline distT="0" distB="0" distL="0" distR="0">
            <wp:extent cx="5943600" cy="3442335"/>
            <wp:effectExtent l="19050" t="0" r="19050" b="5715"/>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274CC" w:rsidRPr="00E424E0" w:rsidRDefault="00F274CC">
      <w:pPr>
        <w:rPr>
          <w:rFonts w:ascii="Times New Roman" w:hAnsi="Times New Roman" w:cs="Times New Roman"/>
        </w:rPr>
      </w:pPr>
    </w:p>
    <w:p w:rsidR="00E424E0" w:rsidRDefault="00E424E0">
      <w:pPr>
        <w:rPr>
          <w:rFonts w:ascii="Times New Roman" w:hAnsi="Times New Roman" w:cs="Times New Roman"/>
          <w:iCs/>
          <w:lang w:val="en-US"/>
        </w:rPr>
      </w:pPr>
      <w:r>
        <w:rPr>
          <w:rFonts w:ascii="Times New Roman" w:hAnsi="Times New Roman" w:cs="Times New Roman"/>
          <w:iCs/>
          <w:lang w:val="en-US"/>
        </w:rPr>
        <w:br w:type="page"/>
      </w:r>
    </w:p>
    <w:p w:rsidR="00F274CC" w:rsidRPr="00E424E0" w:rsidRDefault="00F274CC" w:rsidP="00F274CC">
      <w:pPr>
        <w:rPr>
          <w:rFonts w:ascii="Times New Roman" w:hAnsi="Times New Roman" w:cs="Times New Roman"/>
          <w:lang w:val="en-US"/>
        </w:rPr>
      </w:pPr>
      <w:r w:rsidRPr="00E424E0">
        <w:rPr>
          <w:rFonts w:ascii="Times New Roman" w:hAnsi="Times New Roman" w:cs="Times New Roman"/>
          <w:iCs/>
          <w:lang w:val="en-US"/>
        </w:rPr>
        <w:lastRenderedPageBreak/>
        <w:t>Table 1: Themes &amp; quotes on the different level of learner’s outcomes</w:t>
      </w:r>
    </w:p>
    <w:p w:rsidR="001F25EC" w:rsidRPr="00E424E0" w:rsidRDefault="001F25EC">
      <w:pPr>
        <w:rPr>
          <w:rFonts w:ascii="Times New Roman" w:hAnsi="Times New Roman" w:cs="Times New Roman"/>
        </w:rPr>
      </w:pP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0"/>
        <w:gridCol w:w="7920"/>
      </w:tblGrid>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b/>
              </w:rPr>
            </w:pPr>
            <w:r w:rsidRPr="00E424E0">
              <w:rPr>
                <w:rFonts w:ascii="Times New Roman" w:hAnsi="Times New Roman" w:cs="Times New Roman"/>
                <w:b/>
              </w:rPr>
              <w:t>Themes</w:t>
            </w:r>
          </w:p>
        </w:tc>
        <w:tc>
          <w:tcPr>
            <w:tcW w:w="792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b/>
              </w:rPr>
            </w:pPr>
            <w:r w:rsidRPr="00E424E0">
              <w:rPr>
                <w:rFonts w:ascii="Times New Roman" w:hAnsi="Times New Roman" w:cs="Times New Roman"/>
                <w:b/>
              </w:rPr>
              <w:t>Quotes</w:t>
            </w:r>
          </w:p>
        </w:tc>
      </w:tr>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1 – Reaction</w:t>
            </w:r>
          </w:p>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p>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p>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p>
        </w:tc>
        <w:tc>
          <w:tcPr>
            <w:tcW w:w="7920" w:type="dxa"/>
          </w:tcPr>
          <w:p w:rsidR="001F25EC" w:rsidRPr="00E424E0" w:rsidRDefault="00C74957"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“I thought it [</w:t>
            </w:r>
            <w:r w:rsidR="001F25EC" w:rsidRPr="00E424E0">
              <w:rPr>
                <w:rFonts w:ascii="Times New Roman" w:hAnsi="Times New Roman" w:cs="Times New Roman"/>
              </w:rPr>
              <w:t xml:space="preserve">the OPERA] was excellent, it was very nerve racking... the actors played very good part…they weren’t open with a lot of information, we need to pick [search] for that, we needed to find the basis of their problems which is true in diabetes care” (participant 8) </w:t>
            </w:r>
          </w:p>
        </w:tc>
      </w:tr>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2a – Modification of attitudes / perceptions</w:t>
            </w:r>
          </w:p>
        </w:tc>
        <w:tc>
          <w:tcPr>
            <w:tcW w:w="792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“Invariably you will end up talking about certain case-studies and putting your thoughts or point of view forward from your professional perspective...that’s really nice for everybody to understand the issues a profession may have with that particular thing” (participant 7)</w:t>
            </w:r>
          </w:p>
        </w:tc>
      </w:tr>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2b – Acquisition of knowledge and/or skills</w:t>
            </w:r>
          </w:p>
        </w:tc>
        <w:tc>
          <w:tcPr>
            <w:tcW w:w="792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lang w:val="en-US"/>
              </w:rPr>
            </w:pPr>
            <w:r w:rsidRPr="00E424E0">
              <w:rPr>
                <w:rFonts w:ascii="Times New Roman" w:hAnsi="Times New Roman" w:cs="Times New Roman"/>
              </w:rPr>
              <w:t>“After having more knowledge I really changed my practice enormously, as a result of attending the course,  I’m much more confident at looking at scenarios and changing treatments...also getting the patient to focus more on themselves…” (participant 3)</w:t>
            </w:r>
          </w:p>
          <w:p w:rsidR="001F25EC" w:rsidRPr="00E424E0" w:rsidRDefault="001F25EC" w:rsidP="00C74957">
            <w:pPr>
              <w:widowControl w:val="0"/>
              <w:tabs>
                <w:tab w:val="left" w:pos="4770"/>
              </w:tabs>
              <w:autoSpaceDE w:val="0"/>
              <w:autoSpaceDN w:val="0"/>
              <w:adjustRightInd w:val="0"/>
              <w:spacing w:line="360" w:lineRule="auto"/>
              <w:rPr>
                <w:rFonts w:ascii="Times New Roman" w:hAnsi="Times New Roman" w:cs="Times New Roman"/>
                <w:lang w:val="en-US"/>
              </w:rPr>
            </w:pPr>
            <w:r w:rsidRPr="00E424E0">
              <w:rPr>
                <w:rFonts w:ascii="Times New Roman" w:hAnsi="Times New Roman" w:cs="Times New Roman"/>
                <w:lang w:val="en-US"/>
              </w:rPr>
              <w:t>Since [the</w:t>
            </w:r>
            <w:r w:rsidR="00C74957" w:rsidRPr="00E424E0">
              <w:rPr>
                <w:rFonts w:ascii="Times New Roman" w:hAnsi="Times New Roman" w:cs="Times New Roman"/>
                <w:lang w:val="en-US"/>
              </w:rPr>
              <w:t xml:space="preserve"> </w:t>
            </w:r>
            <w:r w:rsidR="00C74957" w:rsidRPr="00E424E0">
              <w:rPr>
                <w:rFonts w:ascii="Times New Roman" w:hAnsi="Times New Roman" w:cs="Times New Roman"/>
              </w:rPr>
              <w:t>programme</w:t>
            </w:r>
            <w:r w:rsidRPr="00E424E0">
              <w:rPr>
                <w:rFonts w:ascii="Times New Roman" w:hAnsi="Times New Roman" w:cs="Times New Roman"/>
                <w:lang w:val="en-US"/>
              </w:rPr>
              <w:t>] I have had newly diagnosed patients referred to me with off-the-scales HBA1C, which I was being able to bring right down, which was very satisfying.” (participant 7)</w:t>
            </w:r>
          </w:p>
        </w:tc>
      </w:tr>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3 – Behavioural change</w:t>
            </w:r>
          </w:p>
        </w:tc>
        <w:tc>
          <w:tcPr>
            <w:tcW w:w="792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lang w:val="en-US"/>
              </w:rPr>
            </w:pPr>
            <w:r w:rsidRPr="00E424E0">
              <w:rPr>
                <w:rFonts w:ascii="Times New Roman" w:hAnsi="Times New Roman" w:cs="Times New Roman"/>
                <w:lang w:val="en-US"/>
              </w:rPr>
              <w:t>“It’s hard to be definitive…I think we definitely became a lot more aggressive about treatment…before we probably let things bobble along for a long time…” (participant 6)</w:t>
            </w:r>
          </w:p>
        </w:tc>
      </w:tr>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4a – Change in organisation practice</w:t>
            </w:r>
          </w:p>
        </w:tc>
        <w:tc>
          <w:tcPr>
            <w:tcW w:w="792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 xml:space="preserve">“...there were changes in prescribing, we are concentrating on making prescribing uniform throughout the practice, changing to be more cost-effective…if combination therapy is available and cheaper then we </w:t>
            </w:r>
            <w:proofErr w:type="gramStart"/>
            <w:r w:rsidRPr="00E424E0">
              <w:rPr>
                <w:rFonts w:ascii="Times New Roman" w:hAnsi="Times New Roman" w:cs="Times New Roman"/>
              </w:rPr>
              <w:t>change</w:t>
            </w:r>
            <w:proofErr w:type="gramEnd"/>
            <w:r w:rsidRPr="00E424E0">
              <w:rPr>
                <w:rFonts w:ascii="Times New Roman" w:hAnsi="Times New Roman" w:cs="Times New Roman"/>
              </w:rPr>
              <w:t xml:space="preserve"> to them...” (participant 6)</w:t>
            </w:r>
          </w:p>
        </w:tc>
      </w:tr>
      <w:tr w:rsidR="001F25EC" w:rsidRPr="00E424E0" w:rsidTr="00B44C7A">
        <w:tc>
          <w:tcPr>
            <w:tcW w:w="234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4b – Benefits to patients / clients</w:t>
            </w:r>
          </w:p>
        </w:tc>
        <w:tc>
          <w:tcPr>
            <w:tcW w:w="7920" w:type="dxa"/>
          </w:tcPr>
          <w:p w:rsidR="001F25EC" w:rsidRPr="00E424E0" w:rsidRDefault="001F25EC" w:rsidP="00B44C7A">
            <w:pPr>
              <w:widowControl w:val="0"/>
              <w:tabs>
                <w:tab w:val="left" w:pos="4770"/>
              </w:tabs>
              <w:autoSpaceDE w:val="0"/>
              <w:autoSpaceDN w:val="0"/>
              <w:adjustRightInd w:val="0"/>
              <w:spacing w:line="360" w:lineRule="auto"/>
              <w:rPr>
                <w:rFonts w:ascii="Times New Roman" w:hAnsi="Times New Roman" w:cs="Times New Roman"/>
              </w:rPr>
            </w:pPr>
            <w:r w:rsidRPr="00E424E0">
              <w:rPr>
                <w:rFonts w:ascii="Times New Roman" w:hAnsi="Times New Roman" w:cs="Times New Roman"/>
              </w:rPr>
              <w:t>“They [the general practitioners] were referring more complex problems to us, and they’re dealing with the more mundane problems...they know what to do with newly diagnosed…patients are being better managed in primary care for longer times and targets are much better achieved now…this is really good for the patient” (participant 1)</w:t>
            </w:r>
          </w:p>
        </w:tc>
      </w:tr>
    </w:tbl>
    <w:p w:rsidR="00744CBF" w:rsidRPr="00E424E0" w:rsidRDefault="00146725" w:rsidP="00F274CC">
      <w:pPr>
        <w:rPr>
          <w:rFonts w:ascii="Times New Roman" w:hAnsi="Times New Roman" w:cs="Times New Roman"/>
        </w:rPr>
      </w:pPr>
    </w:p>
    <w:sectPr w:rsidR="00744CBF" w:rsidRPr="00E424E0" w:rsidSect="004278A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F25EC"/>
    <w:rsid w:val="000C406F"/>
    <w:rsid w:val="00146725"/>
    <w:rsid w:val="00152E55"/>
    <w:rsid w:val="001802F6"/>
    <w:rsid w:val="00181621"/>
    <w:rsid w:val="00196778"/>
    <w:rsid w:val="001F25EC"/>
    <w:rsid w:val="00265FB9"/>
    <w:rsid w:val="00300B4B"/>
    <w:rsid w:val="003B35C3"/>
    <w:rsid w:val="003C0FF9"/>
    <w:rsid w:val="004278A5"/>
    <w:rsid w:val="00467A67"/>
    <w:rsid w:val="004F5EFD"/>
    <w:rsid w:val="0057409D"/>
    <w:rsid w:val="00581E67"/>
    <w:rsid w:val="0076683C"/>
    <w:rsid w:val="008B500F"/>
    <w:rsid w:val="00924C55"/>
    <w:rsid w:val="00BB31AA"/>
    <w:rsid w:val="00C63C70"/>
    <w:rsid w:val="00C74957"/>
    <w:rsid w:val="00C8171C"/>
    <w:rsid w:val="00E424E0"/>
    <w:rsid w:val="00E45554"/>
    <w:rsid w:val="00E6472D"/>
    <w:rsid w:val="00EC5552"/>
    <w:rsid w:val="00F2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EC"/>
    <w:rPr>
      <w:rFonts w:ascii="Tahoma" w:hAnsi="Tahoma" w:cs="Tahoma"/>
      <w:sz w:val="16"/>
      <w:szCs w:val="16"/>
    </w:rPr>
  </w:style>
  <w:style w:type="character" w:customStyle="1" w:styleId="BalloonTextChar">
    <w:name w:val="Balloon Text Char"/>
    <w:basedOn w:val="DefaultParagraphFont"/>
    <w:link w:val="BalloonText"/>
    <w:uiPriority w:val="99"/>
    <w:semiHidden/>
    <w:rsid w:val="001F25E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46503262">
      <w:bodyDiv w:val="1"/>
      <w:marLeft w:val="0"/>
      <w:marRight w:val="0"/>
      <w:marTop w:val="0"/>
      <w:marBottom w:val="0"/>
      <w:divBdr>
        <w:top w:val="none" w:sz="0" w:space="0" w:color="auto"/>
        <w:left w:val="none" w:sz="0" w:space="0" w:color="auto"/>
        <w:bottom w:val="none" w:sz="0" w:space="0" w:color="auto"/>
        <w:right w:val="none" w:sz="0" w:space="0" w:color="auto"/>
      </w:divBdr>
    </w:div>
    <w:div w:id="1311906928">
      <w:bodyDiv w:val="1"/>
      <w:marLeft w:val="0"/>
      <w:marRight w:val="0"/>
      <w:marTop w:val="0"/>
      <w:marBottom w:val="0"/>
      <w:divBdr>
        <w:top w:val="none" w:sz="0" w:space="0" w:color="auto"/>
        <w:left w:val="none" w:sz="0" w:space="0" w:color="auto"/>
        <w:bottom w:val="none" w:sz="0" w:space="0" w:color="auto"/>
        <w:right w:val="none" w:sz="0" w:space="0" w:color="auto"/>
      </w:divBdr>
    </w:div>
    <w:div w:id="14693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C\Desktop\Completed\BMJ%20conference\Submitted\Diabetes%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barChart>
        <c:barDir val="col"/>
        <c:grouping val="clustered"/>
        <c:ser>
          <c:idx val="0"/>
          <c:order val="0"/>
          <c:tx>
            <c:v>New-referral cases</c:v>
          </c:tx>
          <c:dLbls>
            <c:dLbl>
              <c:idx val="0"/>
              <c:layout>
                <c:manualLayout>
                  <c:x val="0"/>
                  <c:y val="-1.475742482936728E-2"/>
                </c:manualLayout>
              </c:layout>
              <c:showVal val="1"/>
            </c:dLbl>
            <c:dLbl>
              <c:idx val="1"/>
              <c:layout>
                <c:manualLayout>
                  <c:x val="0"/>
                  <c:y val="-1.1068068622025459E-2"/>
                </c:manualLayout>
              </c:layout>
              <c:showVal val="1"/>
            </c:dLbl>
            <c:showVal val="1"/>
          </c:dLbls>
          <c:cat>
            <c:strRef>
              <c:f>Sheet1!$D$6:$E$6</c:f>
              <c:strCache>
                <c:ptCount val="2"/>
                <c:pt idx="0">
                  <c:v>Pre-programme</c:v>
                </c:pt>
                <c:pt idx="1">
                  <c:v>Post-programme</c:v>
                </c:pt>
              </c:strCache>
            </c:strRef>
          </c:cat>
          <c:val>
            <c:numRef>
              <c:f>Sheet1!$D$7:$E$7</c:f>
              <c:numCache>
                <c:formatCode>General</c:formatCode>
                <c:ptCount val="2"/>
                <c:pt idx="0">
                  <c:v>1793</c:v>
                </c:pt>
                <c:pt idx="1">
                  <c:v>1171</c:v>
                </c:pt>
              </c:numCache>
            </c:numRef>
          </c:val>
        </c:ser>
        <c:ser>
          <c:idx val="1"/>
          <c:order val="1"/>
          <c:tx>
            <c:v>Follow-up cases</c:v>
          </c:tx>
          <c:dLbls>
            <c:dLbl>
              <c:idx val="0"/>
              <c:layout>
                <c:manualLayout>
                  <c:x val="0"/>
                  <c:y val="-1.1068068622025459E-2"/>
                </c:manualLayout>
              </c:layout>
              <c:showVal val="1"/>
            </c:dLbl>
            <c:dLbl>
              <c:idx val="1"/>
              <c:layout>
                <c:manualLayout>
                  <c:x val="0"/>
                  <c:y val="-1.475742482936728E-2"/>
                </c:manualLayout>
              </c:layout>
              <c:showVal val="1"/>
            </c:dLbl>
            <c:showVal val="1"/>
          </c:dLbls>
          <c:cat>
            <c:strRef>
              <c:f>Sheet1!$D$6:$E$6</c:f>
              <c:strCache>
                <c:ptCount val="2"/>
                <c:pt idx="0">
                  <c:v>Pre-programme</c:v>
                </c:pt>
                <c:pt idx="1">
                  <c:v>Post-programme</c:v>
                </c:pt>
              </c:strCache>
            </c:strRef>
          </c:cat>
          <c:val>
            <c:numRef>
              <c:f>Sheet1!$D$8:$E$8</c:f>
              <c:numCache>
                <c:formatCode>General</c:formatCode>
                <c:ptCount val="2"/>
                <c:pt idx="0">
                  <c:v>5155</c:v>
                </c:pt>
                <c:pt idx="1">
                  <c:v>5849</c:v>
                </c:pt>
              </c:numCache>
            </c:numRef>
          </c:val>
        </c:ser>
        <c:axId val="117947008"/>
        <c:axId val="117992832"/>
      </c:barChart>
      <c:catAx>
        <c:axId val="117947008"/>
        <c:scaling>
          <c:orientation val="minMax"/>
        </c:scaling>
        <c:axPos val="b"/>
        <c:majorTickMark val="none"/>
        <c:tickLblPos val="nextTo"/>
        <c:crossAx val="117992832"/>
        <c:crosses val="autoZero"/>
        <c:auto val="1"/>
        <c:lblAlgn val="ctr"/>
        <c:lblOffset val="100"/>
      </c:catAx>
      <c:valAx>
        <c:axId val="117992832"/>
        <c:scaling>
          <c:orientation val="minMax"/>
        </c:scaling>
        <c:axPos val="l"/>
        <c:majorGridlines/>
        <c:title>
          <c:tx>
            <c:rich>
              <a:bodyPr rot="-5400000" vert="horz"/>
              <a:lstStyle/>
              <a:p>
                <a:pPr>
                  <a:defRPr/>
                </a:pPr>
                <a:r>
                  <a:rPr lang="en-US"/>
                  <a:t>Number of patients reviewed </a:t>
                </a:r>
              </a:p>
            </c:rich>
          </c:tx>
        </c:title>
        <c:numFmt formatCode="General" sourceLinked="1"/>
        <c:majorTickMark val="none"/>
        <c:tickLblPos val="nextTo"/>
        <c:crossAx val="11794700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7</cp:revision>
  <dcterms:created xsi:type="dcterms:W3CDTF">2013-05-07T20:09:00Z</dcterms:created>
  <dcterms:modified xsi:type="dcterms:W3CDTF">2013-06-23T22:14:00Z</dcterms:modified>
</cp:coreProperties>
</file>