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DC" w:rsidRDefault="00743EDC" w:rsidP="00743EDC">
      <w:pPr>
        <w:jc w:val="center"/>
      </w:pPr>
    </w:p>
    <w:p w:rsidR="00743EDC" w:rsidRDefault="00743EDC" w:rsidP="00743EDC">
      <w:pPr>
        <w:jc w:val="center"/>
      </w:pPr>
    </w:p>
    <w:p w:rsidR="00743EDC" w:rsidRDefault="00743EDC" w:rsidP="00743EDC">
      <w:pPr>
        <w:jc w:val="center"/>
      </w:pPr>
    </w:p>
    <w:p w:rsidR="00743EDC" w:rsidRDefault="00743EDC" w:rsidP="00743EDC">
      <w:pPr>
        <w:jc w:val="center"/>
      </w:pPr>
    </w:p>
    <w:p w:rsidR="00184803" w:rsidRDefault="00743EDC" w:rsidP="00743E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6EB54" wp14:editId="77AEBB92">
                <wp:simplePos x="0" y="0"/>
                <wp:positionH relativeFrom="column">
                  <wp:posOffset>3562350</wp:posOffset>
                </wp:positionH>
                <wp:positionV relativeFrom="paragraph">
                  <wp:posOffset>2162175</wp:posOffset>
                </wp:positionV>
                <wp:extent cx="1314450" cy="638175"/>
                <wp:effectExtent l="476250" t="228600" r="19050" b="28575"/>
                <wp:wrapNone/>
                <wp:docPr id="6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381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2467"/>
                            <a:gd name="adj4" fmla="val -3575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EDC" w:rsidRPr="00743EDC" w:rsidRDefault="00743EDC" w:rsidP="00743E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743EDC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Screening request</w:t>
                            </w:r>
                            <w:r w:rsidRPr="00743EDC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forms and improving patient preparation</w:t>
                            </w:r>
                            <w:r w:rsidRPr="00743EDC"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6EB5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5" o:spid="_x0000_s1026" type="#_x0000_t47" style="position:absolute;left:0;text-align:left;margin-left:280.5pt;margin-top:170.25pt;width:103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" adj="-7722,-7013" fillcolor="white [3212]" strokecolor="black [3213]">
                <v:textbox>
                  <w:txbxContent>
                    <w:p w:rsidR="00743EDC" w:rsidRPr="00743EDC" w:rsidRDefault="00743EDC" w:rsidP="00743ED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743EDC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>Screening request</w:t>
                      </w:r>
                      <w:r w:rsidRPr="00743EDC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 xml:space="preserve"> forms and improving patient preparation</w:t>
                      </w:r>
                      <w:r w:rsidRPr="00743EDC">
                        <w:rPr>
                          <w:rFonts w:asciiTheme="minorHAnsi" w:hAnsi="Calibri" w:cstheme="minorBid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43EDC">
        <w:rPr>
          <w:noProof/>
          <w:color w:val="0070C0"/>
          <w:highlight w:val="darkYellow"/>
        </w:rPr>
        <w:drawing>
          <wp:inline distT="0" distB="0" distL="0" distR="0" wp14:anchorId="5F536C95" wp14:editId="1E798BC3">
            <wp:extent cx="5514975" cy="37338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3EDC" w:rsidRDefault="00743EDC" w:rsidP="00743EDC">
      <w:pPr>
        <w:jc w:val="center"/>
      </w:pPr>
      <w:r>
        <w:t xml:space="preserve">(Fig.3) Run Chart for quantity of utilized Radiopharmaceuticals at PET/CT unit </w:t>
      </w:r>
    </w:p>
    <w:p w:rsidR="00743EDC" w:rsidRDefault="00743EDC" w:rsidP="00743EDC">
      <w:pPr>
        <w:jc w:val="center"/>
      </w:pPr>
    </w:p>
    <w:p w:rsidR="00743EDC" w:rsidRDefault="00743EDC" w:rsidP="00743EDC">
      <w:pPr>
        <w:jc w:val="center"/>
      </w:pPr>
      <w:bookmarkStart w:id="0" w:name="_GoBack"/>
      <w:bookmarkEnd w:id="0"/>
    </w:p>
    <w:sectPr w:rsidR="0074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DC"/>
    <w:rsid w:val="00184803"/>
    <w:rsid w:val="00743EDC"/>
    <w:rsid w:val="00F2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7BE24-4E34-4B80-A62E-F37A5F6D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E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77519379844961"/>
          <c:y val="0.15175472631138498"/>
          <c:w val="0.86523629090191989"/>
          <c:h val="0.71578530944501506"/>
        </c:manualLayout>
      </c:layout>
      <c:lineChart>
        <c:grouping val="standard"/>
        <c:varyColors val="0"/>
        <c:ser>
          <c:idx val="0"/>
          <c:order val="0"/>
          <c:tx>
            <c:v>Values</c:v>
          </c:tx>
          <c:spPr>
            <a:ln w="19050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pPr>
              <a:solidFill>
                <a:schemeClr val="accent6"/>
              </a:solidFill>
              <a:ln w="6350" cap="flat" cmpd="sng" algn="ctr">
                <a:solidFill>
                  <a:schemeClr val="accent6"/>
                </a:solidFill>
                <a:prstDash val="solid"/>
                <a:round/>
              </a:ln>
              <a:effectLst/>
            </c:spPr>
          </c:marker>
          <c:cat>
            <c:numRef>
              <c:f>'Run Chart'!Obs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'Run Chart'!Data</c:f>
              <c:numCache>
                <c:formatCode>General</c:formatCode>
                <c:ptCount val="20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8</c:v>
                </c:pt>
                <c:pt idx="6">
                  <c:v>7</c:v>
                </c:pt>
                <c:pt idx="7">
                  <c:v>8</c:v>
                </c:pt>
                <c:pt idx="8">
                  <c:v>7</c:v>
                </c:pt>
                <c:pt idx="9">
                  <c:v>5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  <c:pt idx="13">
                  <c:v>8</c:v>
                </c:pt>
                <c:pt idx="14">
                  <c:v>9</c:v>
                </c:pt>
                <c:pt idx="15">
                  <c:v>9</c:v>
                </c:pt>
                <c:pt idx="16">
                  <c:v>8</c:v>
                </c:pt>
                <c:pt idx="17">
                  <c:v>9</c:v>
                </c:pt>
                <c:pt idx="18">
                  <c:v>9</c:v>
                </c:pt>
                <c:pt idx="19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v>Median</c:v>
          </c:tx>
          <c:spPr>
            <a:ln w="19050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ymbol val="none"/>
          </c:marker>
          <c:val>
            <c:numRef>
              <c:f>'Run Chart'!Median</c:f>
              <c:numCache>
                <c:formatCode>General</c:formatCode>
                <c:ptCount val="2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6</c:v>
                </c:pt>
                <c:pt idx="17">
                  <c:v>6</c:v>
                </c:pt>
                <c:pt idx="18">
                  <c:v>6</c:v>
                </c:pt>
                <c:pt idx="19">
                  <c:v>6</c:v>
                </c:pt>
              </c:numCache>
            </c:numRef>
          </c:val>
          <c:smooth val="0"/>
        </c:ser>
        <c:ser>
          <c:idx val="2"/>
          <c:order val="2"/>
          <c:tx>
            <c:v>Goal</c:v>
          </c:tx>
          <c:spPr>
            <a:ln w="19050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.28895125609298838"/>
                  <c:y val="-2.197802197802198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1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/>
                      <a:t>Goal</a:t>
                    </a:r>
                  </a:p>
                </c:rich>
              </c:tx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'Run Chart'!Goal</c:f>
              <c:numCache>
                <c:formatCode>General</c:formatCode>
                <c:ptCount val="20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  <c:pt idx="19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8210760"/>
        <c:axId val="298211936"/>
      </c:lineChart>
      <c:catAx>
        <c:axId val="298210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2119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98211936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2107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0.47744</cdr:x>
      <cdr:y>0.92731</cdr:y>
    </cdr:from>
    <cdr:to>
      <cdr:x>0.53929</cdr:x>
      <cdr:y>0.98548</cdr:y>
    </cdr:to>
    <cdr:sp macro="" textlink="">
      <cdr:nvSpPr>
        <cdr:cNvPr id="2050" name="Text Box 2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2546643" y="3462405"/>
          <a:ext cx="329908" cy="2171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Days</a:t>
          </a:r>
        </a:p>
      </cdr:txBody>
    </cdr:sp>
  </cdr:relSizeAnchor>
  <cdr:relSizeAnchor xmlns:cdr="http://schemas.openxmlformats.org/drawingml/2006/chartDrawing">
    <cdr:from>
      <cdr:x>0.01063</cdr:x>
      <cdr:y>0.2398</cdr:y>
    </cdr:from>
    <cdr:to>
      <cdr:x>0.05872</cdr:x>
      <cdr:y>0.79737</cdr:y>
    </cdr:to>
    <cdr:sp macro="" textlink="">
      <cdr:nvSpPr>
        <cdr:cNvPr id="4608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625" y="895351"/>
          <a:ext cx="265226" cy="20818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270" wrap="square" lIns="27432" tIns="22860" rIns="0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fld id="{06EC79B7-CE0D-4848-B190-2C4528884310}" type="TxLink">
            <a:rPr lang="en-US" sz="1050" b="0" i="0" u="none" strike="noStrike" baseline="0">
              <a:solidFill>
                <a:srgbClr val="000000"/>
              </a:solidFill>
              <a:latin typeface="Arial"/>
              <a:cs typeface="Arial"/>
            </a:rPr>
            <a:pPr algn="ctr" rtl="0">
              <a:defRPr sz="1000"/>
            </a:pPr>
            <a:t>Utilized Radiopharmaceuticals</a:t>
          </a:fld>
          <a:endParaRPr lang="en-US" sz="1050" b="0" i="0" u="none" strike="noStrike" baseline="0">
            <a:solidFill>
              <a:srgbClr val="000000"/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Alnahrawi</dc:creator>
  <cp:keywords/>
  <dc:description/>
  <cp:lastModifiedBy>Asmaa Alnahrawi</cp:lastModifiedBy>
  <cp:revision>2</cp:revision>
  <dcterms:created xsi:type="dcterms:W3CDTF">2015-07-07T20:08:00Z</dcterms:created>
  <dcterms:modified xsi:type="dcterms:W3CDTF">2015-07-07T20:19:00Z</dcterms:modified>
</cp:coreProperties>
</file>