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51" w:rsidRPr="00775E51" w:rsidRDefault="00775E51">
      <w:pPr>
        <w:rPr>
          <w:b/>
          <w:sz w:val="28"/>
          <w:szCs w:val="28"/>
        </w:rPr>
      </w:pPr>
      <w:r w:rsidRPr="00775E51">
        <w:rPr>
          <w:b/>
          <w:sz w:val="28"/>
          <w:szCs w:val="28"/>
        </w:rPr>
        <w:t>Examples of Hospital Intranet Safety Alerts</w:t>
      </w:r>
    </w:p>
    <w:p w:rsidR="00775E51" w:rsidRDefault="00775E51">
      <w:pPr>
        <w:rPr>
          <w:b/>
        </w:rPr>
      </w:pPr>
    </w:p>
    <w:p w:rsidR="002F44C6" w:rsidRPr="00775E51" w:rsidRDefault="00775E51">
      <w:pPr>
        <w:rPr>
          <w:b/>
          <w:sz w:val="24"/>
          <w:szCs w:val="24"/>
        </w:rPr>
      </w:pPr>
      <w:r w:rsidRPr="00775E51">
        <w:rPr>
          <w:b/>
          <w:sz w:val="24"/>
          <w:szCs w:val="24"/>
        </w:rPr>
        <w:t xml:space="preserve">November 2016: </w:t>
      </w:r>
      <w:r w:rsidR="005124B7" w:rsidRPr="00775E51">
        <w:rPr>
          <w:b/>
          <w:sz w:val="24"/>
          <w:szCs w:val="24"/>
        </w:rPr>
        <w:t>Blood clots related to h</w:t>
      </w:r>
      <w:r w:rsidR="00EE1FDC" w:rsidRPr="00775E51">
        <w:rPr>
          <w:b/>
          <w:sz w:val="24"/>
          <w:szCs w:val="24"/>
        </w:rPr>
        <w:t>ospital stay</w:t>
      </w:r>
      <w:r w:rsidR="002F44C6" w:rsidRPr="00775E51">
        <w:rPr>
          <w:b/>
          <w:sz w:val="24"/>
          <w:szCs w:val="24"/>
        </w:rPr>
        <w:t xml:space="preserve"> </w:t>
      </w:r>
      <w:r w:rsidR="005124B7" w:rsidRPr="00775E51">
        <w:rPr>
          <w:b/>
          <w:sz w:val="24"/>
          <w:szCs w:val="24"/>
        </w:rPr>
        <w:t>are</w:t>
      </w:r>
      <w:r w:rsidR="002F44C6" w:rsidRPr="00775E51">
        <w:rPr>
          <w:b/>
          <w:sz w:val="24"/>
          <w:szCs w:val="24"/>
        </w:rPr>
        <w:t xml:space="preserve"> potentially preventable.</w:t>
      </w:r>
    </w:p>
    <w:p w:rsidR="002F44C6" w:rsidRPr="005B27E0" w:rsidRDefault="00F22D54">
      <w:r>
        <w:t xml:space="preserve">Has your patient </w:t>
      </w:r>
      <w:r w:rsidR="007C2B0A">
        <w:t>been venous thromboembolism (</w:t>
      </w:r>
      <w:r w:rsidR="002F44C6" w:rsidRPr="005B27E0">
        <w:t>VTE</w:t>
      </w:r>
      <w:r w:rsidR="007C2B0A">
        <w:t>)</w:t>
      </w:r>
      <w:r w:rsidR="002F44C6" w:rsidRPr="005B27E0">
        <w:t xml:space="preserve"> risk assessed and prescribed appropriate </w:t>
      </w:r>
      <w:proofErr w:type="spellStart"/>
      <w:r w:rsidR="002F44C6" w:rsidRPr="005B27E0">
        <w:t>thromboprophylaxis</w:t>
      </w:r>
      <w:proofErr w:type="spellEnd"/>
      <w:r w:rsidR="002F44C6" w:rsidRPr="005B27E0">
        <w:t>? Have you rechecked this as part of your daily review?</w:t>
      </w:r>
    </w:p>
    <w:p w:rsidR="002F44C6" w:rsidRDefault="002F44C6">
      <w:r w:rsidRPr="005B27E0">
        <w:t xml:space="preserve">Since January 2016 </w:t>
      </w:r>
      <w:r w:rsidR="005B27E0" w:rsidRPr="005B27E0">
        <w:t xml:space="preserve">we have had </w:t>
      </w:r>
      <w:r w:rsidR="008858E3" w:rsidRPr="00703D12">
        <w:t>256</w:t>
      </w:r>
      <w:r w:rsidR="005B27E0" w:rsidRPr="00703D12">
        <w:t xml:space="preserve"> </w:t>
      </w:r>
      <w:r w:rsidR="005124B7">
        <w:t>Hospital associated thrombosis in our hospitals</w:t>
      </w:r>
      <w:r w:rsidR="005B27E0" w:rsidRPr="005B27E0">
        <w:t xml:space="preserve">. Most of these occurred despite exemplary </w:t>
      </w:r>
      <w:proofErr w:type="spellStart"/>
      <w:proofErr w:type="gramStart"/>
      <w:r w:rsidR="005B27E0" w:rsidRPr="005B27E0">
        <w:t>thromboprophylaxis</w:t>
      </w:r>
      <w:proofErr w:type="spellEnd"/>
      <w:r w:rsidR="005B27E0" w:rsidRPr="005B27E0">
        <w:t>,</w:t>
      </w:r>
      <w:proofErr w:type="gramEnd"/>
      <w:r w:rsidR="005B27E0" w:rsidRPr="005B27E0">
        <w:t xml:space="preserve"> however root cause analysis found that </w:t>
      </w:r>
      <w:r w:rsidR="00703D12">
        <w:t xml:space="preserve">30 </w:t>
      </w:r>
      <w:r w:rsidR="005B27E0" w:rsidRPr="005B27E0">
        <w:t>were potentially preventable.</w:t>
      </w:r>
    </w:p>
    <w:p w:rsidR="005124B7" w:rsidRDefault="00EE1FDC">
      <w:proofErr w:type="spellStart"/>
      <w:r>
        <w:t>Thromboprohyl</w:t>
      </w:r>
      <w:r w:rsidR="005124B7">
        <w:t>axis</w:t>
      </w:r>
      <w:proofErr w:type="spellEnd"/>
      <w:r w:rsidR="005124B7">
        <w:t xml:space="preserve"> may include anti-embolism stockings, low molecular weight heparin (LMWH) – an injected anticoagulant (blood thinner) </w:t>
      </w:r>
      <w:r>
        <w:t xml:space="preserve">- </w:t>
      </w:r>
      <w:r w:rsidR="005124B7">
        <w:t>or for some stroke patients intermitt</w:t>
      </w:r>
      <w:r>
        <w:t>ent pneumatic compression boots.</w:t>
      </w:r>
    </w:p>
    <w:p w:rsidR="00703D12" w:rsidRPr="005B27E0" w:rsidRDefault="00703D12" w:rsidP="00703D12">
      <w:pPr>
        <w:rPr>
          <w:rFonts w:cs="Arial"/>
          <w:sz w:val="16"/>
          <w:szCs w:val="16"/>
        </w:rPr>
      </w:pPr>
      <w:r>
        <w:rPr>
          <w:rFonts w:cs="Arial"/>
        </w:rPr>
        <w:t>Whilst potentially preventable HATs are</w:t>
      </w:r>
      <w:r w:rsidRPr="005B27E0">
        <w:rPr>
          <w:rFonts w:cs="Arial"/>
        </w:rPr>
        <w:t xml:space="preserve"> a r</w:t>
      </w:r>
      <w:r>
        <w:rPr>
          <w:rFonts w:cs="Arial"/>
        </w:rPr>
        <w:t xml:space="preserve">are event (0.05% of admissions), </w:t>
      </w:r>
      <w:r w:rsidRPr="005B27E0">
        <w:rPr>
          <w:rFonts w:cs="Arial"/>
        </w:rPr>
        <w:t>errors in our process</w:t>
      </w:r>
      <w:r>
        <w:rPr>
          <w:rFonts w:cs="Arial"/>
        </w:rPr>
        <w:t>es</w:t>
      </w:r>
      <w:r w:rsidRPr="005B27E0">
        <w:rPr>
          <w:rFonts w:cs="Arial"/>
        </w:rPr>
        <w:t xml:space="preserve"> </w:t>
      </w:r>
      <w:r>
        <w:rPr>
          <w:rFonts w:cs="Arial"/>
        </w:rPr>
        <w:t>are likely to</w:t>
      </w:r>
      <w:r w:rsidRPr="005B27E0">
        <w:rPr>
          <w:rFonts w:cs="Arial"/>
        </w:rPr>
        <w:t xml:space="preserve"> be much commoner.</w:t>
      </w:r>
    </w:p>
    <w:p w:rsidR="008858E3" w:rsidRDefault="008858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16EC9" wp14:editId="2D03D396">
                <wp:simplePos x="0" y="0"/>
                <wp:positionH relativeFrom="column">
                  <wp:posOffset>-1133475</wp:posOffset>
                </wp:positionH>
                <wp:positionV relativeFrom="paragraph">
                  <wp:posOffset>81280</wp:posOffset>
                </wp:positionV>
                <wp:extent cx="4824095" cy="3689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58E3" w:rsidRDefault="008858E3" w:rsidP="008858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858E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Reason for Potentially Preventable HAT</w:t>
                            </w:r>
                          </w:p>
                          <w:p w:rsidR="008858E3" w:rsidRDefault="008858E3" w:rsidP="008858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8858E3" w:rsidRPr="008858E3" w:rsidRDefault="008858E3" w:rsidP="008858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89.25pt;margin-top:6.4pt;width:379.85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" filled="f" stroked="f">
                <v:textbox style="mso-fit-shape-to-text:t">
                  <w:txbxContent>
                    <w:p w:rsidR="008858E3" w:rsidRDefault="008858E3" w:rsidP="008858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8858E3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Reason for Potentially Preventable HAT</w:t>
                      </w:r>
                    </w:p>
                    <w:p w:rsidR="008858E3" w:rsidRDefault="008858E3" w:rsidP="008858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8858E3" w:rsidRPr="008858E3" w:rsidRDefault="008858E3" w:rsidP="008858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8E3" w:rsidRDefault="00EE1FDC">
      <w:r w:rsidRPr="00EE1FDC">
        <w:rPr>
          <w:noProof/>
          <w:lang w:eastAsia="en-GB"/>
        </w:rPr>
        <w:drawing>
          <wp:inline distT="0" distB="0" distL="0" distR="0" wp14:anchorId="3BC797CD" wp14:editId="73175E8C">
            <wp:extent cx="5857875" cy="24003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27E0" w:rsidRDefault="005B27E0" w:rsidP="005B27E0">
      <w:pPr>
        <w:rPr>
          <w:rFonts w:cs="Arial"/>
          <w:b/>
          <w:bCs/>
        </w:rPr>
      </w:pPr>
      <w:r w:rsidRPr="005B27E0">
        <w:rPr>
          <w:rFonts w:cs="Arial"/>
          <w:b/>
          <w:bCs/>
        </w:rPr>
        <w:t xml:space="preserve">Our aim is for zero errors leading to </w:t>
      </w:r>
      <w:r w:rsidR="005124B7">
        <w:rPr>
          <w:rFonts w:cs="Arial"/>
          <w:b/>
          <w:bCs/>
        </w:rPr>
        <w:t>blood clots</w:t>
      </w:r>
      <w:r w:rsidRPr="005B27E0">
        <w:rPr>
          <w:rFonts w:cs="Arial"/>
          <w:b/>
          <w:bCs/>
        </w:rPr>
        <w:t>.</w:t>
      </w:r>
    </w:p>
    <w:p w:rsidR="005B27E0" w:rsidRPr="005B27E0" w:rsidRDefault="005124B7" w:rsidP="00775E51">
      <w:pPr>
        <w:spacing w:after="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>Ways y</w:t>
      </w:r>
      <w:r w:rsidR="005B27E0">
        <w:rPr>
          <w:rFonts w:cs="Arial"/>
          <w:b/>
          <w:bCs/>
        </w:rPr>
        <w:t>ou can help:</w:t>
      </w:r>
    </w:p>
    <w:p w:rsidR="002F44C6" w:rsidRPr="005B27E0" w:rsidRDefault="002F44C6" w:rsidP="00775E51">
      <w:pPr>
        <w:spacing w:after="40"/>
        <w:rPr>
          <w:rFonts w:cs="Arial"/>
        </w:rPr>
      </w:pPr>
      <w:r w:rsidRPr="005B27E0">
        <w:rPr>
          <w:rFonts w:cs="Arial"/>
          <w:b/>
          <w:bCs/>
        </w:rPr>
        <w:t>For nurses</w:t>
      </w:r>
      <w:r w:rsidRPr="005B27E0">
        <w:rPr>
          <w:rFonts w:cs="Arial"/>
        </w:rPr>
        <w:t xml:space="preserve"> – avoid delays in administration and missed doses</w:t>
      </w:r>
      <w:r w:rsidR="00EE1FDC">
        <w:rPr>
          <w:rFonts w:cs="Arial"/>
        </w:rPr>
        <w:t xml:space="preserve"> of LMWH</w:t>
      </w:r>
      <w:r w:rsidRPr="005B27E0">
        <w:rPr>
          <w:rFonts w:cs="Arial"/>
        </w:rPr>
        <w:t xml:space="preserve"> (without documentation of reason)</w:t>
      </w:r>
    </w:p>
    <w:p w:rsidR="002F44C6" w:rsidRPr="005B27E0" w:rsidRDefault="002F44C6" w:rsidP="00775E51">
      <w:pPr>
        <w:spacing w:after="40"/>
        <w:rPr>
          <w:rFonts w:cs="Arial"/>
        </w:rPr>
      </w:pPr>
      <w:r w:rsidRPr="005B27E0">
        <w:rPr>
          <w:rFonts w:cs="Arial"/>
          <w:b/>
          <w:bCs/>
        </w:rPr>
        <w:t>For doctors</w:t>
      </w:r>
      <w:r w:rsidRPr="005B27E0">
        <w:rPr>
          <w:rFonts w:cs="Arial"/>
        </w:rPr>
        <w:t xml:space="preserve"> – </w:t>
      </w:r>
      <w:r w:rsidR="005124B7">
        <w:rPr>
          <w:rFonts w:cs="Arial"/>
        </w:rPr>
        <w:t xml:space="preserve">risk </w:t>
      </w:r>
      <w:r w:rsidRPr="005B27E0">
        <w:rPr>
          <w:rFonts w:cs="Arial"/>
        </w:rPr>
        <w:t xml:space="preserve">assessment errors, dosing errors and prescribing delays </w:t>
      </w:r>
      <w:r w:rsidR="00703D12">
        <w:rPr>
          <w:rFonts w:cs="Arial"/>
        </w:rPr>
        <w:t xml:space="preserve">especially </w:t>
      </w:r>
      <w:r w:rsidR="005124B7">
        <w:rPr>
          <w:rFonts w:cs="Arial"/>
        </w:rPr>
        <w:t xml:space="preserve">around the time of a </w:t>
      </w:r>
      <w:r w:rsidR="00703D12">
        <w:rPr>
          <w:rFonts w:cs="Arial"/>
        </w:rPr>
        <w:t>procedure</w:t>
      </w:r>
    </w:p>
    <w:p w:rsidR="002F44C6" w:rsidRPr="005B27E0" w:rsidRDefault="002F44C6" w:rsidP="002F44C6">
      <w:pPr>
        <w:rPr>
          <w:rFonts w:cs="Arial"/>
          <w:b/>
          <w:bCs/>
          <w:sz w:val="16"/>
          <w:szCs w:val="16"/>
        </w:rPr>
      </w:pPr>
    </w:p>
    <w:p w:rsidR="007609DA" w:rsidRDefault="00EE1FDC" w:rsidP="002F44C6">
      <w:pPr>
        <w:rPr>
          <w:rFonts w:cs="Arial"/>
        </w:rPr>
      </w:pPr>
      <w:r>
        <w:rPr>
          <w:rFonts w:cs="Arial"/>
        </w:rPr>
        <w:t>For VTE prevention guidelines and support tools, please see ‘Anticoagulation and Thrombosis’ section of intranet:</w:t>
      </w:r>
      <w:r w:rsidR="00775E51">
        <w:rPr>
          <w:rFonts w:cs="Arial"/>
        </w:rPr>
        <w:t xml:space="preserve"> </w:t>
      </w:r>
      <w:hyperlink r:id="rId6" w:history="1">
        <w:r w:rsidR="007609DA" w:rsidRPr="00127EEA">
          <w:rPr>
            <w:rStyle w:val="Hyperlink"/>
            <w:rFonts w:cs="Arial"/>
          </w:rPr>
          <w:t>http://orh.oxnet.nhs.uk/anticoagulation/Pages/AboutVTEprophylaxis.aspx</w:t>
        </w:r>
      </w:hyperlink>
    </w:p>
    <w:p w:rsidR="00EE1FDC" w:rsidRDefault="00EE1FDC" w:rsidP="002F44C6">
      <w:pPr>
        <w:rPr>
          <w:rFonts w:cs="Arial"/>
        </w:rPr>
      </w:pPr>
    </w:p>
    <w:p w:rsidR="00775E51" w:rsidRPr="00B04921" w:rsidRDefault="00775E51" w:rsidP="00775E51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</w:t>
      </w:r>
      <w:r w:rsidRPr="00B04921">
        <w:rPr>
          <w:b/>
          <w:sz w:val="28"/>
          <w:szCs w:val="28"/>
        </w:rPr>
        <w:t>ew and improved electronic VTE risk assessment, Sunday 11</w:t>
      </w:r>
      <w:r w:rsidRPr="00B049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2016</w:t>
      </w:r>
    </w:p>
    <w:p w:rsidR="00775E51" w:rsidRPr="00B04921" w:rsidRDefault="00775E51" w:rsidP="00775E51">
      <w:pPr>
        <w:spacing w:after="80"/>
        <w:rPr>
          <w:sz w:val="16"/>
          <w:szCs w:val="16"/>
        </w:rPr>
      </w:pPr>
    </w:p>
    <w:p w:rsidR="00775E51" w:rsidRPr="00B04921" w:rsidRDefault="00775E51" w:rsidP="00775E51">
      <w:pPr>
        <w:spacing w:after="80"/>
      </w:pPr>
      <w:r w:rsidRPr="00B04921">
        <w:t>The hospitals will switch to an updated version of the electronic venous thromboembolism (VTE) risk assessment for all adult medical and surgical patients on Sunday 11</w:t>
      </w:r>
      <w:r w:rsidRPr="00B04921">
        <w:rPr>
          <w:vertAlign w:val="superscript"/>
        </w:rPr>
        <w:t>th</w:t>
      </w:r>
      <w:r w:rsidRPr="00B04921">
        <w:t xml:space="preserve"> December.</w:t>
      </w:r>
    </w:p>
    <w:p w:rsidR="00775E51" w:rsidRPr="00B04921" w:rsidRDefault="00775E51" w:rsidP="00775E51">
      <w:pPr>
        <w:spacing w:after="80"/>
      </w:pPr>
      <w:r w:rsidRPr="00B04921">
        <w:t xml:space="preserve">Please note, the maternity </w:t>
      </w:r>
      <w:proofErr w:type="spellStart"/>
      <w:r w:rsidRPr="00B04921">
        <w:t>eVTE</w:t>
      </w:r>
      <w:proofErr w:type="spellEnd"/>
      <w:r w:rsidRPr="00B04921">
        <w:t xml:space="preserve"> risk assessment is being upgraded separately and so this does not affect patients who are in ‘pregnancy and the puerperium’.</w:t>
      </w:r>
    </w:p>
    <w:p w:rsidR="00775E51" w:rsidRPr="00B04921" w:rsidRDefault="00775E51" w:rsidP="00775E51">
      <w:pPr>
        <w:spacing w:after="80"/>
        <w:rPr>
          <w:b/>
        </w:rPr>
      </w:pPr>
    </w:p>
    <w:p w:rsidR="00775E51" w:rsidRPr="00B04921" w:rsidRDefault="00775E51" w:rsidP="00775E51">
      <w:pPr>
        <w:spacing w:after="80"/>
        <w:rPr>
          <w:b/>
          <w:sz w:val="24"/>
          <w:szCs w:val="24"/>
        </w:rPr>
      </w:pPr>
      <w:r w:rsidRPr="00B04921">
        <w:rPr>
          <w:b/>
          <w:sz w:val="24"/>
          <w:szCs w:val="24"/>
        </w:rPr>
        <w:t>Reason for change</w:t>
      </w:r>
    </w:p>
    <w:p w:rsidR="00775E51" w:rsidRPr="00B04921" w:rsidRDefault="00775E51" w:rsidP="00775E51">
      <w:pPr>
        <w:spacing w:after="80"/>
      </w:pPr>
      <w:r w:rsidRPr="00B04921">
        <w:t xml:space="preserve">The </w:t>
      </w:r>
      <w:proofErr w:type="spellStart"/>
      <w:r w:rsidRPr="00B04921">
        <w:t>eVTE</w:t>
      </w:r>
      <w:proofErr w:type="spellEnd"/>
      <w:r w:rsidRPr="00B04921">
        <w:t xml:space="preserve"> risk assessment takes the prescriber through risk factors for both thrombosis and bleeding, and contraindications to anti-embolism stockings if appropriate. Based on the answers, it gives a recommendation for </w:t>
      </w:r>
      <w:proofErr w:type="spellStart"/>
      <w:r w:rsidRPr="00B04921">
        <w:t>thromboprophylaxis</w:t>
      </w:r>
      <w:proofErr w:type="spellEnd"/>
      <w:r w:rsidRPr="00B04921">
        <w:t>: such as to prescribe low molecular weight heparin (LMWH) or mechanical measures (anti-embolism stockings, AES, or intermittent pneumatic compression boots, IPC).</w:t>
      </w:r>
    </w:p>
    <w:p w:rsidR="00775E51" w:rsidRPr="00B04921" w:rsidRDefault="00775E51" w:rsidP="00775E51">
      <w:pPr>
        <w:spacing w:after="80"/>
      </w:pPr>
      <w:r w:rsidRPr="00B04921">
        <w:t xml:space="preserve">The key feature of the new version of the </w:t>
      </w:r>
      <w:proofErr w:type="spellStart"/>
      <w:r w:rsidRPr="00B04921">
        <w:t>eVTE</w:t>
      </w:r>
      <w:proofErr w:type="spellEnd"/>
      <w:r w:rsidRPr="00B04921">
        <w:t xml:space="preserve"> risk assessment is that it will ‘link’ the recommended outcome of the </w:t>
      </w:r>
      <w:proofErr w:type="spellStart"/>
      <w:r w:rsidRPr="00B04921">
        <w:t>eVTE</w:t>
      </w:r>
      <w:proofErr w:type="spellEnd"/>
      <w:r w:rsidRPr="00B04921">
        <w:t xml:space="preserve"> risk assessment to e-prescribing. This should make documentation of the </w:t>
      </w:r>
      <w:proofErr w:type="spellStart"/>
      <w:r w:rsidRPr="00B04921">
        <w:t>eVTE</w:t>
      </w:r>
      <w:proofErr w:type="spellEnd"/>
      <w:r w:rsidRPr="00B04921">
        <w:t xml:space="preserve"> risk assessment more relevant, and make prescription and documentation easier.</w:t>
      </w:r>
    </w:p>
    <w:p w:rsidR="00775E51" w:rsidRPr="00B04921" w:rsidRDefault="00775E51" w:rsidP="00775E51">
      <w:pPr>
        <w:spacing w:after="80"/>
      </w:pPr>
      <w:r w:rsidRPr="00B04921">
        <w:t>The ‘link’ will work in both directions, that is:</w:t>
      </w:r>
    </w:p>
    <w:p w:rsidR="00775E51" w:rsidRPr="00B04921" w:rsidRDefault="00775E51" w:rsidP="00775E51">
      <w:pPr>
        <w:spacing w:after="80"/>
      </w:pPr>
      <w:r w:rsidRPr="00B04921">
        <w:t xml:space="preserve">- </w:t>
      </w:r>
      <w:r w:rsidRPr="00B04921">
        <w:tab/>
        <w:t xml:space="preserve">Completion of </w:t>
      </w:r>
      <w:proofErr w:type="spellStart"/>
      <w:r w:rsidRPr="00B04921">
        <w:t>eVTE</w:t>
      </w:r>
      <w:proofErr w:type="spellEnd"/>
      <w:r w:rsidRPr="00B04921">
        <w:t xml:space="preserve"> risk assessment leads to a ‘recommended outcome’, and if the prescriber agrees with this then the prescriber will be led through to a </w:t>
      </w:r>
      <w:proofErr w:type="spellStart"/>
      <w:r w:rsidRPr="00B04921">
        <w:t>powerplan</w:t>
      </w:r>
      <w:proofErr w:type="spellEnd"/>
      <w:r w:rsidRPr="00B04921">
        <w:t xml:space="preserve"> for VTE prophylaxis (if the prescriber does not agree with the outcome recommendation then there is an option not to follow it, but the reason must be documented)</w:t>
      </w:r>
    </w:p>
    <w:p w:rsidR="00775E51" w:rsidRPr="00B04921" w:rsidRDefault="00775E51" w:rsidP="00775E51">
      <w:pPr>
        <w:spacing w:after="80"/>
      </w:pPr>
      <w:r w:rsidRPr="00B04921">
        <w:t xml:space="preserve">- </w:t>
      </w:r>
      <w:r w:rsidRPr="00B04921">
        <w:tab/>
        <w:t xml:space="preserve">If the VTE risk assessment has not yet been completed but a doctor starts to write a prescription for prophylactic </w:t>
      </w:r>
      <w:proofErr w:type="spellStart"/>
      <w:r w:rsidRPr="00B04921">
        <w:t>dalteparin</w:t>
      </w:r>
      <w:proofErr w:type="spellEnd"/>
      <w:r w:rsidRPr="00B04921">
        <w:t>/AES/IPC then it will force the VTE risk assessment to be completed first, and then take prescriber through to appropriate power plan.</w:t>
      </w:r>
    </w:p>
    <w:p w:rsidR="00775E51" w:rsidRPr="00B04921" w:rsidRDefault="00775E51" w:rsidP="00775E51">
      <w:pPr>
        <w:spacing w:after="80"/>
        <w:rPr>
          <w:b/>
        </w:rPr>
      </w:pPr>
    </w:p>
    <w:p w:rsidR="00775E51" w:rsidRPr="00B04921" w:rsidRDefault="00775E51" w:rsidP="00775E51">
      <w:pPr>
        <w:spacing w:after="80"/>
        <w:rPr>
          <w:b/>
          <w:sz w:val="24"/>
          <w:szCs w:val="24"/>
        </w:rPr>
      </w:pPr>
      <w:r w:rsidRPr="00B04921">
        <w:rPr>
          <w:b/>
          <w:sz w:val="24"/>
          <w:szCs w:val="24"/>
        </w:rPr>
        <w:t>When this will happen, and how you will be affected</w:t>
      </w:r>
    </w:p>
    <w:p w:rsidR="00775E51" w:rsidRDefault="00775E51" w:rsidP="00775E51">
      <w:pPr>
        <w:spacing w:after="80"/>
        <w:rPr>
          <w:color w:val="000000"/>
        </w:rPr>
      </w:pPr>
      <w:r w:rsidRPr="00B04921">
        <w:t xml:space="preserve">Unfortunately there needs to be a short period of ‘downtime’ </w:t>
      </w:r>
      <w:r w:rsidRPr="00B04921">
        <w:rPr>
          <w:b/>
          <w:color w:val="0000FF"/>
        </w:rPr>
        <w:t>09:00-16:00 Sunday 11</w:t>
      </w:r>
      <w:r w:rsidRPr="00B04921">
        <w:rPr>
          <w:b/>
          <w:color w:val="0000FF"/>
          <w:vertAlign w:val="superscript"/>
        </w:rPr>
        <w:t>th</w:t>
      </w:r>
      <w:r w:rsidRPr="00B04921">
        <w:rPr>
          <w:b/>
          <w:color w:val="0000FF"/>
        </w:rPr>
        <w:t xml:space="preserve"> December</w:t>
      </w:r>
      <w:r w:rsidRPr="00B04921">
        <w:rPr>
          <w:color w:val="0000FF"/>
        </w:rPr>
        <w:t xml:space="preserve"> </w:t>
      </w:r>
      <w:r w:rsidRPr="00B04921">
        <w:t xml:space="preserve">during which the electronic VTE risk assessment will be unavailable. </w:t>
      </w:r>
      <w:r w:rsidRPr="00B04921">
        <w:rPr>
          <w:color w:val="000000"/>
        </w:rPr>
        <w:t xml:space="preserve">We apologise for the inconvenience that this will cause. </w:t>
      </w:r>
      <w:r w:rsidRPr="00B04921">
        <w:t xml:space="preserve">If you try and complete a VTE risk assessment during this period you will receive an alert that it is not possible to do so until. In this circumstance, please prescribe </w:t>
      </w:r>
      <w:proofErr w:type="spellStart"/>
      <w:r w:rsidRPr="00B04921">
        <w:t>thromboprophylaxis</w:t>
      </w:r>
      <w:proofErr w:type="spellEnd"/>
      <w:r w:rsidRPr="00B04921">
        <w:t xml:space="preserve"> as appropriate, and please remember </w:t>
      </w:r>
      <w:r w:rsidRPr="00B04921">
        <w:rPr>
          <w:color w:val="000000"/>
        </w:rPr>
        <w:t xml:space="preserve">to document the </w:t>
      </w:r>
      <w:proofErr w:type="spellStart"/>
      <w:r w:rsidRPr="00B04921">
        <w:rPr>
          <w:color w:val="000000"/>
        </w:rPr>
        <w:t>eVTE</w:t>
      </w:r>
      <w:proofErr w:type="spellEnd"/>
      <w:r w:rsidRPr="00B04921">
        <w:rPr>
          <w:color w:val="000000"/>
        </w:rPr>
        <w:t xml:space="preserve"> risk assessment once it is available again. </w:t>
      </w:r>
    </w:p>
    <w:p w:rsidR="00775E51" w:rsidRPr="00BD0957" w:rsidRDefault="00775E51" w:rsidP="00775E51">
      <w:pPr>
        <w:spacing w:after="80"/>
        <w:rPr>
          <w:color w:val="000000"/>
          <w:sz w:val="16"/>
          <w:szCs w:val="16"/>
        </w:rPr>
      </w:pPr>
    </w:p>
    <w:p w:rsidR="00775E51" w:rsidRPr="00B04921" w:rsidRDefault="00775E51" w:rsidP="00775E51">
      <w:pPr>
        <w:spacing w:after="80"/>
      </w:pPr>
      <w:r w:rsidRPr="00B04921">
        <w:t xml:space="preserve">We hope that this update to link the e-VTE risk assessment outcome to e-prescribing will be a significant improvement. Please let us know feedback once it has started as this will help refine it in the future.  </w:t>
      </w:r>
    </w:p>
    <w:p w:rsidR="00775E51" w:rsidRPr="00B04921" w:rsidRDefault="00775E51" w:rsidP="00775E51">
      <w:pPr>
        <w:spacing w:after="80"/>
      </w:pPr>
    </w:p>
    <w:p w:rsidR="00775E51" w:rsidRPr="00B04921" w:rsidRDefault="00775E51" w:rsidP="00775E51">
      <w:pPr>
        <w:spacing w:after="80"/>
        <w:rPr>
          <w:b/>
          <w:sz w:val="24"/>
          <w:szCs w:val="24"/>
        </w:rPr>
      </w:pPr>
      <w:r w:rsidRPr="00B04921">
        <w:rPr>
          <w:b/>
          <w:sz w:val="24"/>
          <w:szCs w:val="24"/>
        </w:rPr>
        <w:t>Where to find help</w:t>
      </w:r>
    </w:p>
    <w:p w:rsidR="00775E51" w:rsidRDefault="00775E51" w:rsidP="00775E51">
      <w:pPr>
        <w:spacing w:after="80"/>
        <w:rPr>
          <w:rFonts w:ascii="Calibri" w:hAnsi="Calibri" w:cs="Times New Roman"/>
          <w:color w:val="1F497D"/>
          <w:lang w:val="en-US" w:eastAsia="en-GB"/>
        </w:rPr>
      </w:pPr>
      <w:r w:rsidRPr="00B04921">
        <w:lastRenderedPageBreak/>
        <w:t xml:space="preserve">For quick reference guide on how to complete the new </w:t>
      </w:r>
      <w:proofErr w:type="spellStart"/>
      <w:r w:rsidRPr="00B04921">
        <w:t>eVTE</w:t>
      </w:r>
      <w:proofErr w:type="spellEnd"/>
      <w:r w:rsidRPr="00B04921">
        <w:t xml:space="preserve"> risk assessment and link with prescribing: </w:t>
      </w:r>
      <w:hyperlink r:id="rId7" w:history="1">
        <w:r>
          <w:rPr>
            <w:rStyle w:val="Hyperlink"/>
            <w:rFonts w:ascii="Calibri" w:hAnsi="Calibri" w:cs="Times New Roman"/>
            <w:color w:val="0000FF"/>
            <w:lang w:val="en-US" w:eastAsia="en-GB"/>
          </w:rPr>
          <w:t>http://orh.oxnet.nhs.uk/EPR/Document%20Library/EPR%20QRGs/ePMA%20Guides/VTE-RA%20QRG.pdf</w:t>
        </w:r>
      </w:hyperlink>
      <w:r>
        <w:rPr>
          <w:rFonts w:ascii="Calibri" w:hAnsi="Calibri" w:cs="Times New Roman"/>
          <w:color w:val="1F497D"/>
          <w:lang w:val="en-US" w:eastAsia="en-GB"/>
        </w:rPr>
        <w:t>.</w:t>
      </w:r>
    </w:p>
    <w:p w:rsidR="00775E51" w:rsidRPr="00B04921" w:rsidRDefault="00775E51" w:rsidP="00775E51">
      <w:pPr>
        <w:spacing w:after="80"/>
      </w:pPr>
    </w:p>
    <w:p w:rsidR="00775E51" w:rsidRPr="00B04921" w:rsidRDefault="00775E51" w:rsidP="00775E51">
      <w:pPr>
        <w:spacing w:after="80"/>
        <w:rPr>
          <w:rFonts w:cs="Arial"/>
        </w:rPr>
      </w:pPr>
      <w:r w:rsidRPr="00B04921">
        <w:rPr>
          <w:rFonts w:cs="Arial"/>
        </w:rPr>
        <w:t xml:space="preserve">For any queries/difficulties with regards to the EPR switch, please contact the </w:t>
      </w:r>
      <w:r w:rsidRPr="00B04921">
        <w:rPr>
          <w:rFonts w:cs="Arial"/>
          <w:color w:val="0000FF"/>
        </w:rPr>
        <w:t xml:space="preserve">IT help desk on x22822 </w:t>
      </w:r>
      <w:r w:rsidRPr="00B04921">
        <w:rPr>
          <w:rFonts w:cs="Arial"/>
        </w:rPr>
        <w:t>(IT support analyst available out of hours via page, details on answer-machine message).</w:t>
      </w:r>
    </w:p>
    <w:p w:rsidR="00775E51" w:rsidRPr="00B04921" w:rsidRDefault="00775E51" w:rsidP="00775E51">
      <w:pPr>
        <w:spacing w:after="80"/>
        <w:rPr>
          <w:rFonts w:cs="Arial"/>
        </w:rPr>
      </w:pPr>
      <w:r w:rsidRPr="00B04921">
        <w:rPr>
          <w:rFonts w:cs="Arial"/>
        </w:rPr>
        <w:t xml:space="preserve">For VTE prevention feedback or to request further support please </w:t>
      </w:r>
      <w:proofErr w:type="gramStart"/>
      <w:r w:rsidRPr="00B04921">
        <w:rPr>
          <w:rFonts w:cs="Arial"/>
        </w:rPr>
        <w:t>contact</w:t>
      </w:r>
      <w:r>
        <w:rPr>
          <w:rFonts w:cs="Arial"/>
        </w:rPr>
        <w:t xml:space="preserve">  t</w:t>
      </w:r>
      <w:r w:rsidRPr="00B04921">
        <w:rPr>
          <w:rFonts w:cs="Arial"/>
        </w:rPr>
        <w:t>he</w:t>
      </w:r>
      <w:proofErr w:type="gramEnd"/>
      <w:r w:rsidRPr="00B04921">
        <w:rPr>
          <w:rFonts w:cs="Arial"/>
        </w:rPr>
        <w:t xml:space="preserve"> VTE prevention team on </w:t>
      </w:r>
      <w:hyperlink r:id="rId8" w:history="1">
        <w:r w:rsidRPr="00B04921">
          <w:rPr>
            <w:rStyle w:val="Hyperlink"/>
            <w:rFonts w:cs="Arial"/>
          </w:rPr>
          <w:t>VTEprevention@ouh.nhs.uk</w:t>
        </w:r>
      </w:hyperlink>
      <w:r w:rsidRPr="00B04921">
        <w:rPr>
          <w:rFonts w:cs="Arial"/>
        </w:rPr>
        <w:t xml:space="preserve"> or x25384</w:t>
      </w:r>
      <w:r>
        <w:rPr>
          <w:rFonts w:cs="Arial"/>
        </w:rPr>
        <w:t>.</w:t>
      </w:r>
      <w:bookmarkStart w:id="0" w:name="_GoBack"/>
      <w:bookmarkEnd w:id="0"/>
    </w:p>
    <w:p w:rsidR="005B27E0" w:rsidRDefault="005B27E0" w:rsidP="002F44C6">
      <w:pPr>
        <w:rPr>
          <w:rFonts w:cs="Arial"/>
        </w:rPr>
      </w:pPr>
    </w:p>
    <w:p w:rsidR="00610035" w:rsidRDefault="00610035" w:rsidP="002F44C6">
      <w:pPr>
        <w:rPr>
          <w:rFonts w:cs="Arial"/>
        </w:rPr>
      </w:pPr>
    </w:p>
    <w:sectPr w:rsidR="00610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C6"/>
    <w:rsid w:val="00060E0F"/>
    <w:rsid w:val="000D2EE7"/>
    <w:rsid w:val="0012501A"/>
    <w:rsid w:val="002F44C6"/>
    <w:rsid w:val="004D3565"/>
    <w:rsid w:val="005124B7"/>
    <w:rsid w:val="005B27E0"/>
    <w:rsid w:val="00610035"/>
    <w:rsid w:val="00703D12"/>
    <w:rsid w:val="0071389D"/>
    <w:rsid w:val="007609DA"/>
    <w:rsid w:val="00775E51"/>
    <w:rsid w:val="007C2B0A"/>
    <w:rsid w:val="008858E3"/>
    <w:rsid w:val="00EE1FDC"/>
    <w:rsid w:val="00F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unhideWhenUsed/>
    <w:qFormat/>
    <w:rsid w:val="004D3565"/>
    <w:pPr>
      <w:keepNext/>
      <w:keepLines/>
      <w:spacing w:after="39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3565"/>
    <w:rPr>
      <w:rFonts w:ascii="Arial" w:eastAsia="Arial" w:hAnsi="Arial" w:cs="Arial"/>
      <w:b/>
      <w:color w:val="000000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44C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44C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7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58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124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unhideWhenUsed/>
    <w:qFormat/>
    <w:rsid w:val="004D3565"/>
    <w:pPr>
      <w:keepNext/>
      <w:keepLines/>
      <w:spacing w:after="39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3565"/>
    <w:rPr>
      <w:rFonts w:ascii="Arial" w:eastAsia="Arial" w:hAnsi="Arial" w:cs="Arial"/>
      <w:b/>
      <w:color w:val="000000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44C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44C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7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58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124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Eprevention@ouh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h.oxnet.nhs.uk/EPR/Document%20Library/EPR%20QRGs/ePMA%20Guides/VTE-RA%20QR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h.oxnet.nhs.uk/anticoagulation/Pages/AboutVTEprophylaxis.aspx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flip="none" rotWithShape="1">
              <a:gsLst>
                <a:gs pos="0">
                  <a:srgbClr val="002060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cat>
            <c:strRef>
              <c:f>Sheet1!$A$2:$A$7</c:f>
              <c:strCache>
                <c:ptCount val="6"/>
                <c:pt idx="0">
                  <c:v>Anti-Embolic Stockings - not prescribed/applied</c:v>
                </c:pt>
                <c:pt idx="1">
                  <c:v>Intermittent pneumatic compression - not prescribed/applied</c:v>
                </c:pt>
                <c:pt idx="2">
                  <c:v>LMWH - not prescribed</c:v>
                </c:pt>
                <c:pt idx="3">
                  <c:v>LMWH - prescribed but not adminstered</c:v>
                </c:pt>
                <c:pt idx="4">
                  <c:v>LMWH - delay in prescribing post-op/following invasive procedures</c:v>
                </c:pt>
                <c:pt idx="5">
                  <c:v>Extended thromboprophylaxis - not prescribed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11</c:v>
                </c:pt>
                <c:pt idx="3">
                  <c:v>7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28064"/>
        <c:axId val="133929984"/>
      </c:barChart>
      <c:catAx>
        <c:axId val="13392806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33929984"/>
        <c:crosses val="autoZero"/>
        <c:auto val="1"/>
        <c:lblAlgn val="ctr"/>
        <c:lblOffset val="100"/>
        <c:noMultiLvlLbl val="0"/>
      </c:catAx>
      <c:valAx>
        <c:axId val="133929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339280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Shapiro Susie (RTH) OUH</dc:creator>
  <cp:lastModifiedBy>Shapiro Susie (RTH) OUH</cp:lastModifiedBy>
  <cp:revision>2</cp:revision>
  <cp:lastPrinted>2016-11-30T13:30:00Z</cp:lastPrinted>
  <dcterms:created xsi:type="dcterms:W3CDTF">2019-05-26T17:05:00Z</dcterms:created>
  <dcterms:modified xsi:type="dcterms:W3CDTF">2019-05-26T17:05:00Z</dcterms:modified>
</cp:coreProperties>
</file>